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C94" w:rsidRPr="00CD7FEE" w:rsidRDefault="00C23CC1" w:rsidP="00CD7FEE">
      <w:pPr>
        <w:jc w:val="both"/>
        <w:rPr>
          <w:b/>
          <w:sz w:val="36"/>
          <w:szCs w:val="36"/>
        </w:rPr>
      </w:pPr>
      <w:r w:rsidRPr="00CD7FEE">
        <w:rPr>
          <w:b/>
          <w:sz w:val="36"/>
          <w:szCs w:val="36"/>
        </w:rPr>
        <w:t>Paso 3: Autoevaluación</w:t>
      </w:r>
    </w:p>
    <w:p w:rsidR="00C23CC1" w:rsidRPr="00CD7FEE" w:rsidRDefault="00C23CC1" w:rsidP="00CD7FEE">
      <w:pPr>
        <w:jc w:val="both"/>
        <w:rPr>
          <w:b/>
          <w:sz w:val="32"/>
          <w:szCs w:val="32"/>
        </w:rPr>
      </w:pPr>
      <w:r w:rsidRPr="00CD7FEE">
        <w:rPr>
          <w:b/>
          <w:sz w:val="32"/>
          <w:szCs w:val="32"/>
        </w:rPr>
        <w:t>Categoría: Contexto y responsabilidad social de la Institución.</w:t>
      </w:r>
    </w:p>
    <w:p w:rsidR="00B85FA9" w:rsidRPr="00CD7FEE" w:rsidRDefault="00B85FA9" w:rsidP="00CD7FEE">
      <w:pPr>
        <w:shd w:val="clear" w:color="auto" w:fill="FFFFFF"/>
        <w:spacing w:before="300" w:after="150" w:line="240" w:lineRule="auto"/>
        <w:jc w:val="both"/>
        <w:outlineLvl w:val="1"/>
        <w:rPr>
          <w:b/>
          <w:sz w:val="28"/>
          <w:szCs w:val="28"/>
        </w:rPr>
      </w:pPr>
      <w:r w:rsidRPr="00CD7FEE">
        <w:rPr>
          <w:b/>
          <w:sz w:val="28"/>
          <w:szCs w:val="28"/>
        </w:rPr>
        <w:t>Compromiso y responsabilidad social</w:t>
      </w:r>
    </w:p>
    <w:p w:rsidR="00C8161C" w:rsidRDefault="00C8161C" w:rsidP="00CD7FEE">
      <w:pPr>
        <w:shd w:val="clear" w:color="auto" w:fill="FFFFFF"/>
        <w:spacing w:before="300" w:after="150" w:line="240" w:lineRule="auto"/>
        <w:jc w:val="both"/>
        <w:outlineLvl w:val="1"/>
      </w:pPr>
      <w:r>
        <w:t xml:space="preserve">El CIMAV forma parte del Sistema de Centros Públicos de Investigación (CPI) del CONACYT, es un CPI consolidado, y se ha constituido en un referente científico tecnológico en los ámbitos estatal y nacional. Sus temas de investigación están bien definidos y son de impacto estratégico para el país, como son la Ciencia de los Materiales, Energía y Medio Ambiente y Nanotecnología. El programa de la Maestría en Ciencia y Tecnología Ambiental, se enmarca dentro del Plan Nacional de Desarrollo 2019-2024, en el punto 3 Economía, en el apartado de Ciencia y Tecnología. A través de este programa, el CIMAV contribuye a la formación de recursos humanos de calidad. </w:t>
      </w:r>
    </w:p>
    <w:p w:rsidR="00C8161C" w:rsidRDefault="00C8161C" w:rsidP="00CD7FEE">
      <w:pPr>
        <w:shd w:val="clear" w:color="auto" w:fill="FFFFFF"/>
        <w:spacing w:before="300" w:after="150" w:line="240" w:lineRule="auto"/>
        <w:jc w:val="both"/>
        <w:outlineLvl w:val="1"/>
      </w:pPr>
      <w:r>
        <w:t>Debido a que la misión del CIMAV incluye la formación de recursos humanos con criterios de excelencia, existe el compromiso para aceptar las reglas e instrumentos normativos del PNPC, sus preceptos y lineamientos descritos en las diferentes áreas. Se tiene personal de tiempo completo y un núcleo académico cuyo desempeño promueve su fortalecimiento en apego a los valores fundamentales del quehacer académico.</w:t>
      </w:r>
    </w:p>
    <w:p w:rsidR="00C8161C" w:rsidRDefault="00C8161C" w:rsidP="00CD7FEE">
      <w:pPr>
        <w:shd w:val="clear" w:color="auto" w:fill="FFFFFF"/>
        <w:spacing w:before="300" w:after="150" w:line="240" w:lineRule="auto"/>
        <w:jc w:val="both"/>
        <w:outlineLvl w:val="1"/>
      </w:pPr>
      <w:r>
        <w:t>El CIMAV se compromete a aumentar la plantilla académica, proporcionar infraestructura física: salones, laboratorios, centros de información, espacios para estudiantes, salas de videoconferencia y esparcimiento, dar seguimiento al Sistema de Aseguramiento de la Calidad de Posgrado y ampliar las fuentes alternativas de financiamiento.</w:t>
      </w:r>
    </w:p>
    <w:p w:rsidR="00C8161C" w:rsidRDefault="00C8161C" w:rsidP="00CD7FEE">
      <w:pPr>
        <w:shd w:val="clear" w:color="auto" w:fill="FFFFFF"/>
        <w:spacing w:before="300" w:after="150" w:line="240" w:lineRule="auto"/>
        <w:jc w:val="both"/>
        <w:outlineLvl w:val="1"/>
      </w:pPr>
      <w:r>
        <w:t>Los recursos necesarios para la operación de los programas académicos, son preestablecidos y contabilizados formalmente en un presupuesto a través de una partida independiente. El ejercicio de estos recursos se ejecuta a través de una coordinación académica cuyos trámites procesados administrativamente a través del departamento correspondiente. A la fecha, a pesar de los recortes presupuestales, el presupuesto asignado para atender la operación del posgrado ha sido complementado con ingresos provenientes del sector productivo.</w:t>
      </w:r>
    </w:p>
    <w:p w:rsidR="00C8161C" w:rsidRDefault="00C8161C" w:rsidP="00CD7FEE">
      <w:pPr>
        <w:shd w:val="clear" w:color="auto" w:fill="FFFFFF"/>
        <w:spacing w:before="300" w:after="150" w:line="240" w:lineRule="auto"/>
        <w:jc w:val="both"/>
        <w:outlineLvl w:val="1"/>
      </w:pPr>
      <w:r>
        <w:t>El centro pone a disposición un repositorio con los productos y tesis generados en el programa, al cual se puede acceder de manera digital a través de la página web del centro y de redes de comunicación interna. Los trámites y requisitos de egreso del programa son solicitados y manejados de tal forma que la integración de nuevo material al repositorio se lleva a cabo de una manera estandarizada. Actualmente se trabaja en crear una red de egresados que permita extender el acompañamiento y comunicación con la comunidad estudiantil.</w:t>
      </w:r>
    </w:p>
    <w:p w:rsidR="00C8161C" w:rsidRDefault="00C8161C" w:rsidP="00CD7FEE">
      <w:pPr>
        <w:shd w:val="clear" w:color="auto" w:fill="FFFFFF"/>
        <w:spacing w:before="300" w:after="150" w:line="240" w:lineRule="auto"/>
        <w:jc w:val="both"/>
        <w:outlineLvl w:val="1"/>
      </w:pPr>
      <w:r>
        <w:t xml:space="preserve">El CIMAV respalda la ejecución del plan de mejora de todos los programas académicos, así como las estrategias y protocolos para la prevención del plagio. Desde 2016 la biblioteca digital del centro cuenta con acceso al servicio informático </w:t>
      </w:r>
      <w:proofErr w:type="spellStart"/>
      <w:r>
        <w:t>Ithenticate</w:t>
      </w:r>
      <w:proofErr w:type="spellEnd"/>
      <w:r>
        <w:t xml:space="preserve"> el cual permite identificar similitudes con textos encontrados en la red y en las principales revistas indexadas a nivel internacional. Las capacitaciones se ofrecen eventualmente.</w:t>
      </w:r>
    </w:p>
    <w:p w:rsidR="00C8161C" w:rsidRDefault="00C8161C" w:rsidP="00CD7FEE">
      <w:pPr>
        <w:shd w:val="clear" w:color="auto" w:fill="FFFFFF"/>
        <w:spacing w:before="300" w:after="150" w:line="240" w:lineRule="auto"/>
        <w:jc w:val="both"/>
        <w:outlineLvl w:val="1"/>
      </w:pPr>
      <w:r>
        <w:lastRenderedPageBreak/>
        <w:t>La originalidad de la producción académica se procura mediante la revisión semestral de manera individual para cada estudiante, mediante un comité tutorial ad hoc al tema de tesis, conformado por investigadores internos y externos del centro. Esta revisión semestral es evaluada cuantitativamente y su calificación forma parte de las asignaturas del plan de estudios a cumplir.</w:t>
      </w:r>
    </w:p>
    <w:p w:rsidR="00C8161C" w:rsidRDefault="00C8161C" w:rsidP="00CD7FEE">
      <w:pPr>
        <w:shd w:val="clear" w:color="auto" w:fill="FFFFFF"/>
        <w:spacing w:before="300" w:after="150" w:line="240" w:lineRule="auto"/>
        <w:jc w:val="both"/>
        <w:outlineLvl w:val="1"/>
      </w:pPr>
      <w:r>
        <w:t xml:space="preserve">El Comité de Estudios de Posgrado (CEP), resuelve las controversias que surjan al interior de la comunidad académica del programa a través de procedimientos colegiados. </w:t>
      </w:r>
    </w:p>
    <w:p w:rsidR="00C8161C" w:rsidRDefault="00C8161C" w:rsidP="00CD7FEE">
      <w:pPr>
        <w:shd w:val="clear" w:color="auto" w:fill="FFFFFF"/>
        <w:spacing w:before="300" w:after="150" w:line="240" w:lineRule="auto"/>
        <w:jc w:val="both"/>
        <w:outlineLvl w:val="1"/>
      </w:pPr>
      <w:r>
        <w:t>El CIMAV cuenta con un Comité de Ética para promover la igualdad entre mujeres y hombres, evitar los conflictos de intereses, brindar asesoría y atención inicial de acuerdo a protocolos preestablecidos en presuntos casos de discriminación, conductas de hostigamiento, acoso sexual y violencia de género.</w:t>
      </w:r>
    </w:p>
    <w:p w:rsidR="00B85FA9" w:rsidRDefault="00C8161C" w:rsidP="00CD7FEE">
      <w:pPr>
        <w:shd w:val="clear" w:color="auto" w:fill="FFFFFF"/>
        <w:spacing w:before="300" w:after="150" w:line="240" w:lineRule="auto"/>
        <w:jc w:val="both"/>
        <w:outlineLvl w:val="1"/>
      </w:pPr>
      <w:r>
        <w:t>Existencia de una política institucional o norma basada en la evidencia para articular un proceso continuo de formación, investigación, colaboración social y acceso universal al conocimiento.</w:t>
      </w:r>
    </w:p>
    <w:p w:rsidR="00B85FA9" w:rsidRPr="004E7FD9" w:rsidRDefault="00B85FA9" w:rsidP="004E7FD9">
      <w:pPr>
        <w:shd w:val="clear" w:color="auto" w:fill="FFFFFF"/>
        <w:spacing w:before="300" w:after="150" w:line="240" w:lineRule="auto"/>
        <w:jc w:val="both"/>
        <w:outlineLvl w:val="1"/>
        <w:rPr>
          <w:b/>
          <w:sz w:val="28"/>
          <w:szCs w:val="28"/>
        </w:rPr>
      </w:pPr>
      <w:r w:rsidRPr="004E7FD9">
        <w:rPr>
          <w:b/>
          <w:sz w:val="28"/>
          <w:szCs w:val="28"/>
        </w:rPr>
        <w:t>Sistema Interno para el Fortalecimiento de los Posgrados (SIFOR) (Antes SIAC)</w:t>
      </w:r>
    </w:p>
    <w:p w:rsidR="00C8161C" w:rsidRDefault="00C8161C" w:rsidP="004E7FD9">
      <w:pPr>
        <w:jc w:val="both"/>
      </w:pPr>
      <w:r>
        <w:t>El sistema interno para el fortalecimiento de los posgrados (SIFOR) está constituido por un grupo de documentos normativos que regula la operación y la gestión de las actividades del programa académico. Existen dos tipos de normatividad, una regula en forma directa la operatividad del posgrado y la otra regula la institución en general. La normatividad que regula de forma directa es el reglamento de estudios de posgrado, el manual de gestión de la calidad del posgrado, el reglamento para el otorgamiento de becas y apoyos a estudiantes. El reglamento de estudios de posgrado regula la estructura, organización y actividades del programa, así como la vida académica de los estudiantes desde su admisión hasta la obtención de grado. El manual de gestión de la calidad del posgrado establece los procesos de todas las actividades que se realizan en la coordinación de estudios de posgrado y que sirven para un mejor desempeño. El reglamento para el otorgamiento de becas y apoyos a estudiantes establece los requisitos, derechos y obligaciones de los mismos.</w:t>
      </w:r>
    </w:p>
    <w:p w:rsidR="00C8161C" w:rsidRDefault="00C8161C" w:rsidP="004E7FD9">
      <w:pPr>
        <w:jc w:val="both"/>
      </w:pPr>
      <w:r>
        <w:t>Por otra parte, el programa académico se ve indirectamente influenciado por las normas y directrices que regulan al Centro, como el 1. Estatuto del personal académico, 2. Lineamientos para otorgamiento de estímulos por proyecto del personal científico y tecnológico, 3. Reglas de operación para las estancias sabáticas, postdoctorales y de investigación del personal académico, 4. Reglas de operación del consejo académico interno, entre otros.</w:t>
      </w:r>
    </w:p>
    <w:p w:rsidR="00C8161C" w:rsidRDefault="00C8161C" w:rsidP="004E7FD9">
      <w:pPr>
        <w:jc w:val="both"/>
      </w:pPr>
      <w:r>
        <w:t>Estos documentos orientan y regulan las actividades sustantivas del centro de tal forma que las responsabilidades y los objetivos estratégicos, puedan ser planeados, organizados y cumplidos en tiempo y forma.</w:t>
      </w:r>
    </w:p>
    <w:p w:rsidR="00C8161C" w:rsidRDefault="00C8161C" w:rsidP="004E7FD9">
      <w:pPr>
        <w:jc w:val="both"/>
      </w:pPr>
      <w:r>
        <w:t>Entre estos documentos destaca el programa de trabajo anual del centro, donde se establecen las metas a lograr. En este plan de trabajo se incluyen actividades con incidencia social con relación a instituciones gubernamentales, académicas y del sector privado.</w:t>
      </w:r>
    </w:p>
    <w:p w:rsidR="00C8161C" w:rsidRDefault="00C8161C" w:rsidP="004E7FD9">
      <w:pPr>
        <w:jc w:val="both"/>
      </w:pPr>
      <w:r>
        <w:t xml:space="preserve">En relación a la formación de recursos humanos, las actividades con incidencia social además de los estudiantes inscritos, incluyen la atención de visitas estudiantiles de nivel medio-superior y superior, </w:t>
      </w:r>
      <w:r>
        <w:lastRenderedPageBreak/>
        <w:t xml:space="preserve">que recientemente se hacen de manera virtual, donde se muestra a los estudiantes los avances de la ciencia y el quehacer de un investigador y se les motiva a continuar estudiando. Se cuenta con una trayectoria importante en foros de divulgación cuyos fines incluyen despertar intereses vocacionales en niños y adolescentes. </w:t>
      </w:r>
    </w:p>
    <w:p w:rsidR="00C23CC1" w:rsidRDefault="00C8161C" w:rsidP="004E7FD9">
      <w:pPr>
        <w:jc w:val="both"/>
      </w:pPr>
      <w:r>
        <w:t xml:space="preserve">El CIMAV, promueve la difusión del conocimiento de las actividades de investigación a través del programa -Verano de la Investigación- en donde 250 alumnos de licenciatura han realizado una estancia en CIMAV desde el 2017 al 2021. También, para difundir el conocimiento a todos los sectores, el CIMAV imparte periódicamente </w:t>
      </w:r>
      <w:proofErr w:type="spellStart"/>
      <w:r>
        <w:t>webinars</w:t>
      </w:r>
      <w:proofErr w:type="spellEnd"/>
      <w:r>
        <w:t xml:space="preserve"> y talleres gratuitos entre los que destacan Tecnologías </w:t>
      </w:r>
      <w:proofErr w:type="spellStart"/>
      <w:r>
        <w:t>termosolares</w:t>
      </w:r>
      <w:proofErr w:type="spellEnd"/>
      <w:r>
        <w:t xml:space="preserve"> para el ahorro de energía eléctrica en procesos industriales, Aplicaciones de modelado molecular, Tecnologías de tratamiento de Agua y Manejo Integral de Residuos.</w:t>
      </w:r>
    </w:p>
    <w:p w:rsidR="00B85FA9" w:rsidRPr="004E7FD9" w:rsidRDefault="00B85FA9">
      <w:pPr>
        <w:rPr>
          <w:b/>
          <w:sz w:val="32"/>
          <w:szCs w:val="32"/>
        </w:rPr>
      </w:pPr>
      <w:r w:rsidRPr="004E7FD9">
        <w:rPr>
          <w:b/>
          <w:sz w:val="32"/>
          <w:szCs w:val="32"/>
        </w:rPr>
        <w:t>Categoría: Estructura e infraestructura del programa</w:t>
      </w:r>
    </w:p>
    <w:p w:rsidR="00B85FA9" w:rsidRPr="004E7FD9" w:rsidRDefault="00B85FA9" w:rsidP="00B85FA9">
      <w:pPr>
        <w:shd w:val="clear" w:color="auto" w:fill="FFFFFF"/>
        <w:spacing w:before="300" w:after="150" w:line="240" w:lineRule="auto"/>
        <w:outlineLvl w:val="1"/>
        <w:rPr>
          <w:b/>
          <w:sz w:val="28"/>
          <w:szCs w:val="28"/>
        </w:rPr>
      </w:pPr>
      <w:r w:rsidRPr="004E7FD9">
        <w:rPr>
          <w:b/>
          <w:sz w:val="28"/>
          <w:szCs w:val="28"/>
        </w:rPr>
        <w:t>Plan de estudios</w:t>
      </w:r>
    </w:p>
    <w:p w:rsidR="00235602" w:rsidRDefault="00235602" w:rsidP="004C4C52">
      <w:pPr>
        <w:jc w:val="both"/>
      </w:pPr>
      <w:r>
        <w:t>El plan de estudios no fue modificado durante este período, pero es pertinente mencionar que el actual fue fruto de un trabajo que evaluó la pertinencia social y educativa tanto regional como nacional, comparándolo con planes de instituciones de educación superior de prestigio nacionales e internacionales; se planea hacerlo en el 2022.</w:t>
      </w:r>
    </w:p>
    <w:p w:rsidR="00235602" w:rsidRDefault="00235602" w:rsidP="004C4C52">
      <w:pPr>
        <w:jc w:val="both"/>
      </w:pPr>
      <w:r>
        <w:t xml:space="preserve">El plan garantiza que se alcance el perfil de ingreso, los estudiantes admitidos deben contar con las siguientes características: Haber realizado estudios de licenciatura en algún área afín a las ciencias naturales o ingenierías; un promedio que garantice la obtención de una beca de CONACYT o similar; comprensión del idioma inglés técnico. En el caso de estudiantes extranjeros, deberán demostrar el dominio del idioma español; y demostrar habilidades-capacidad para el desarrollo de conocimientos y transferencia de ciencia y tecnología mediante una evaluación. </w:t>
      </w:r>
    </w:p>
    <w:p w:rsidR="00235602" w:rsidRDefault="00235602" w:rsidP="004C4C52">
      <w:pPr>
        <w:jc w:val="both"/>
      </w:pPr>
      <w:r>
        <w:t>El egresado del programa adquiere capacidades y habilidades que incluyen competencias de conocimiento como la interpretación de teorías, metodologías y tecnologías de las ciencias ambientales y energía; capacidad metodológica para la investigación científica; conocimiento del contexto, estructura y desarrollo tecnológico del sector productivo y su impacto ambiental, en el área de su competencia y conocimiento del método científico.</w:t>
      </w:r>
    </w:p>
    <w:p w:rsidR="00235602" w:rsidRDefault="00235602" w:rsidP="004C4C52">
      <w:pPr>
        <w:jc w:val="both"/>
      </w:pPr>
      <w:r>
        <w:t>También, el egresado adquiere competencias instrumentales entre las cuales se encuentran: el manejo y la operación eficiente de equipos, materiales, instrumentos; la implementación de nuevas técnicas y procedimientos de laboratorio; capacidad para generar textos científicos y técnicos y habilidades de expresión oral para la divulgación del conocimiento científico en foros o congresos.</w:t>
      </w:r>
    </w:p>
    <w:p w:rsidR="00235602" w:rsidRDefault="00235602" w:rsidP="004C4C52">
      <w:pPr>
        <w:jc w:val="both"/>
      </w:pPr>
      <w:r>
        <w:t>Para asegurar que el egresado cumpla con el perfil, el Plan de Estudios, que se basa en dos líneas de generación y aplicación del conocimiento: Química Ambiental y Medio Ambiente y Energía, tiene un mapa curricular de materias obligatorias básicas que sirven como fundamento básico de formación y materias de especialización que contribuyen al desarrollo de su proyecto de investigación, el estudiante de acuerdo con su director de tesis puede elegir materias optativas y de temas selectos, estas últimas permiten incluir contenidos que no están contemplados en el plan de estudios, previa aprobación del Comité de Estudios de Posgrado.</w:t>
      </w:r>
    </w:p>
    <w:p w:rsidR="00235602" w:rsidRDefault="00235602" w:rsidP="004C4C52">
      <w:pPr>
        <w:jc w:val="both"/>
      </w:pPr>
      <w:r>
        <w:lastRenderedPageBreak/>
        <w:t>El plan contempla, por cada asignatura, los objetivos, temas a estudiar, la literatura que debe consultarse para apoyo del aprendizaje y los instrumentos de evaluación de la misma, de igual manera están contempladas las actividades de las asignaturas que contemplan una parte de experimentación en laboratorio o campo.</w:t>
      </w:r>
    </w:p>
    <w:p w:rsidR="00870FF9" w:rsidRDefault="00235602" w:rsidP="004C4C52">
      <w:pPr>
        <w:jc w:val="both"/>
      </w:pPr>
      <w:r>
        <w:t>Los dos semestres dedicados a la parte de asignaturas m</w:t>
      </w:r>
      <w:r w:rsidR="004C4C52">
        <w:t>á</w:t>
      </w:r>
      <w:r>
        <w:t>s los dos que se tienen para el trabajo de tesis, garantiza que el estudiante obtenga su grado en los tiempos marcados por el</w:t>
      </w:r>
      <w:r w:rsidR="004C4C52">
        <w:t xml:space="preserve"> PNPC y el Programa de Becas de</w:t>
      </w:r>
      <w:r>
        <w:t>l CONACYT, conforme puede verse en los indicadores de tasa de graduación y eficiencia terminal.</w:t>
      </w:r>
    </w:p>
    <w:p w:rsidR="00B85FA9" w:rsidRPr="00B33593" w:rsidRDefault="00B85FA9" w:rsidP="00B85FA9">
      <w:pPr>
        <w:shd w:val="clear" w:color="auto" w:fill="FFFFFF"/>
        <w:spacing w:before="300" w:after="150" w:line="240" w:lineRule="auto"/>
        <w:outlineLvl w:val="1"/>
        <w:rPr>
          <w:b/>
          <w:sz w:val="28"/>
          <w:szCs w:val="28"/>
        </w:rPr>
      </w:pPr>
      <w:r w:rsidRPr="00B33593">
        <w:rPr>
          <w:b/>
          <w:sz w:val="28"/>
          <w:szCs w:val="28"/>
        </w:rPr>
        <w:t>Núcleo académico</w:t>
      </w:r>
    </w:p>
    <w:p w:rsidR="00235602" w:rsidRDefault="00235602" w:rsidP="00B33593">
      <w:pPr>
        <w:jc w:val="both"/>
      </w:pPr>
      <w:r>
        <w:t>La planta académica cuenta con 14 investigadores consolidados en sus áreas respectivas, todos con membresía del SNI, 7 de ellos son Nivel 1 y 7 son Niveles 2 y 3, los cuales conforman un grupo multidisciplinario que aborda todas las facetas de las Líneas de Generación y Aplicación del Conocimiento prop</w:t>
      </w:r>
      <w:r w:rsidR="00B33593">
        <w:t xml:space="preserve">uestas en el programa. </w:t>
      </w:r>
      <w:r>
        <w:t xml:space="preserve">La institución impulsa al personal académico para mantener su permanencia en el Sistema Nacional de Investigadores, ya que es uno de los requisitos </w:t>
      </w:r>
      <w:proofErr w:type="spellStart"/>
      <w:r>
        <w:t>mas</w:t>
      </w:r>
      <w:proofErr w:type="spellEnd"/>
      <w:r>
        <w:t xml:space="preserve"> importantes para la permanencia en la institución, favoreciendo la publicación en revistas indizadas y la asistencia a congresos donde se publique en revistas con factor de impacto en </w:t>
      </w:r>
      <w:proofErr w:type="spellStart"/>
      <w:r>
        <w:t>Journal</w:t>
      </w:r>
      <w:proofErr w:type="spellEnd"/>
      <w:r>
        <w:t xml:space="preserve"> </w:t>
      </w:r>
      <w:proofErr w:type="spellStart"/>
      <w:r>
        <w:t>Citation</w:t>
      </w:r>
      <w:proofErr w:type="spellEnd"/>
      <w:r>
        <w:t xml:space="preserve"> </w:t>
      </w:r>
      <w:proofErr w:type="spellStart"/>
      <w:r>
        <w:t>Reports</w:t>
      </w:r>
      <w:proofErr w:type="spellEnd"/>
      <w:r>
        <w:t>.</w:t>
      </w:r>
    </w:p>
    <w:p w:rsidR="00235602" w:rsidRDefault="00235602" w:rsidP="009755C2">
      <w:pPr>
        <w:jc w:val="both"/>
      </w:pPr>
      <w:r>
        <w:t>En la institución existen dos evaluaciones al desempeño del personal académico. Una que evalúa la productividad académica donde se incluyen cursos impartidos, estudiantes graduados y la participación en comités de evaluación y otra donde los estudiantes evalúan el desempeño académico de los profesores, especialm</w:t>
      </w:r>
      <w:r w:rsidR="009755C2">
        <w:t xml:space="preserve">ente a los que imparten cursos. </w:t>
      </w:r>
      <w:r>
        <w:t xml:space="preserve">La actualización académica del personal se realiza a través de seminarios, cursos, talleres y conferencias impartidos por expertos nacionales e internacionales y a través de estancias sabáticas del personal académico en instituciones de reconocido prestigio. </w:t>
      </w:r>
    </w:p>
    <w:p w:rsidR="00854B3E" w:rsidRDefault="00235602" w:rsidP="009755C2">
      <w:pPr>
        <w:jc w:val="both"/>
      </w:pPr>
      <w:r>
        <w:t>Con respecto a la proporción estudiante-investigador es de 2.8 estudiantes por investigador, lo que cumple con los lineamientos del Padrón Nacional de Posgrados de Calidad.</w:t>
      </w:r>
    </w:p>
    <w:p w:rsidR="00854B3E" w:rsidRPr="009755C2" w:rsidRDefault="00854B3E" w:rsidP="009755C2">
      <w:pPr>
        <w:rPr>
          <w:b/>
          <w:sz w:val="28"/>
          <w:szCs w:val="28"/>
        </w:rPr>
      </w:pPr>
      <w:r>
        <w:t xml:space="preserve"> </w:t>
      </w:r>
      <w:r w:rsidRPr="009755C2">
        <w:rPr>
          <w:b/>
          <w:sz w:val="28"/>
          <w:szCs w:val="28"/>
        </w:rPr>
        <w:t>Líneas de Generación y/o Aplicación del Conocimiento (LGAC)</w:t>
      </w:r>
    </w:p>
    <w:p w:rsidR="00235602" w:rsidRDefault="00235602" w:rsidP="00235602">
      <w:r>
        <w:t>Este programa cuenta con dos Líneas de Generación y Aplicación del Conocimiento:</w:t>
      </w:r>
    </w:p>
    <w:p w:rsidR="00235602" w:rsidRDefault="00235602" w:rsidP="009755C2">
      <w:pPr>
        <w:jc w:val="both"/>
      </w:pPr>
      <w:r>
        <w:t xml:space="preserve">Medio ambiente y energía, involucra las áreas: biológica, química, recursos naturales, modelado molecular y química computacional, </w:t>
      </w:r>
      <w:proofErr w:type="spellStart"/>
      <w:proofErr w:type="gramStart"/>
      <w:r>
        <w:t>ecología,etc</w:t>
      </w:r>
      <w:proofErr w:type="spellEnd"/>
      <w:r>
        <w:t>.</w:t>
      </w:r>
      <w:proofErr w:type="gramEnd"/>
      <w:r>
        <w:t>, con orientación en sustentabilidad. Permite desarrollar temas que inciden en los planes estatal y nacional de desarrollo. Así se impulsa la formación de RH en temas prioritarios a nivel global como: Cambio climático, energía, biodiversidad, agua, residuos peligrosos y suelo. En el tema energético, se centra en el desarrollo de las energías renovables y sus demandas.</w:t>
      </w:r>
    </w:p>
    <w:p w:rsidR="00235602" w:rsidRDefault="00235602" w:rsidP="009755C2">
      <w:pPr>
        <w:jc w:val="both"/>
      </w:pPr>
      <w:r>
        <w:t xml:space="preserve">Química Ambiental, estudia los procesos físicos y químicos en la transformación de diferentes ecosistemas. Describe los procesos químicos de remoción de contaminantes de agua, suelo y aire, enfocada en el análisis cuantitativo de los niveles de contaminantes que representan un riesgo potencial al ambiente y salud. Incentiva el desarrollo de metodologías limpias o verdes para la </w:t>
      </w:r>
      <w:r>
        <w:lastRenderedPageBreak/>
        <w:t>detección de contaminantes y para el tratamiento de aquellos que constituyan un riesgo al medio ambiente y a la salud.</w:t>
      </w:r>
    </w:p>
    <w:p w:rsidR="00854B3E" w:rsidRDefault="00235602" w:rsidP="009755C2">
      <w:pPr>
        <w:jc w:val="both"/>
      </w:pPr>
      <w:r>
        <w:t xml:space="preserve">Como puede verse reflejado en las tesis, en los artículos in extenso, y en algunos casos en los artículos publicados en revistas indizadas, hay un carácter </w:t>
      </w:r>
      <w:proofErr w:type="spellStart"/>
      <w:r>
        <w:t>muldisciplinario</w:t>
      </w:r>
      <w:proofErr w:type="spellEnd"/>
      <w:r>
        <w:t xml:space="preserve"> donde el uso de materiales avanzados, técnicas de biología molecular, microbiología e inmunología, espectrofotométricas, modelado molecular y química computacional, entre otras, son incorporadas para resolver problemas de medio ambiente y energía.</w:t>
      </w:r>
    </w:p>
    <w:p w:rsidR="00854B3E" w:rsidRPr="009755C2" w:rsidRDefault="00854B3E" w:rsidP="00854B3E">
      <w:pPr>
        <w:shd w:val="clear" w:color="auto" w:fill="FFFFFF"/>
        <w:spacing w:before="300" w:after="150" w:line="240" w:lineRule="auto"/>
        <w:outlineLvl w:val="1"/>
        <w:rPr>
          <w:b/>
          <w:sz w:val="28"/>
          <w:szCs w:val="28"/>
        </w:rPr>
      </w:pPr>
      <w:r w:rsidRPr="009755C2">
        <w:rPr>
          <w:b/>
          <w:sz w:val="28"/>
          <w:szCs w:val="28"/>
        </w:rPr>
        <w:t>Infraestructura del programa</w:t>
      </w:r>
    </w:p>
    <w:p w:rsidR="00235602" w:rsidRDefault="00235602" w:rsidP="009755C2">
      <w:pPr>
        <w:jc w:val="both"/>
      </w:pPr>
      <w:r>
        <w:t xml:space="preserve">El Departamento de Medio Ambiente y Energía brinda apoyo con sus respectivos laboratorios y técnicos a investigadores y estudiantes para el desarrollo de sus trabajos de investigación, cuenta con los siguientes laboratorios: Calidad del Agua; Calidad del Aire; Residuos Peligrosos y de Conversión Sustentable de Residuos; Automatización de Técnicas Analíticas; Vigilancia Radiológica; </w:t>
      </w:r>
      <w:proofErr w:type="spellStart"/>
      <w:r>
        <w:t>Nanotoxicología</w:t>
      </w:r>
      <w:proofErr w:type="spellEnd"/>
      <w:r>
        <w:t xml:space="preserve">; Eficiencia Energética, Térmica y Eléctrica; Solar Fotovoltaica y Nano-Biotecnología. Adicionalmente, se apoya en los laboratorios del Departamento de Servicios Científicos y Tecnológicos, que incluye a Microscopía Electrónica de Barrido y de Transmisión; Análisis Químicos; Difracción de Rayos-X; Metrología; Preparación de Muestras; Pruebas Mecánicas, Microscopía Óptica, Análisis </w:t>
      </w:r>
      <w:proofErr w:type="spellStart"/>
      <w:r>
        <w:t>Termogravimétricos</w:t>
      </w:r>
      <w:proofErr w:type="spellEnd"/>
      <w:r>
        <w:t xml:space="preserve"> y UV-Vis y FTIR. El CIMAV cuenta con técnicas acreditadas ante la </w:t>
      </w:r>
      <w:proofErr w:type="spellStart"/>
      <w:r>
        <w:t>ema</w:t>
      </w:r>
      <w:proofErr w:type="spellEnd"/>
      <w:r>
        <w:t xml:space="preserve"> y laboratorios certificados.</w:t>
      </w:r>
    </w:p>
    <w:p w:rsidR="00235602" w:rsidRDefault="00235602" w:rsidP="009755C2">
      <w:pPr>
        <w:jc w:val="both"/>
      </w:pPr>
      <w:r>
        <w:t xml:space="preserve">Estos laboratorios cuentan con los siguientes equipos: horno de grafito con absorción atómica, cromatografía de gases acoplado a espectrometría de masas, ICP-OES, ICP-MS, analizador elemental, absorción atómica con generación de hidruros, fluorescencia atómica, GC-MS, FTIR, GC-FID, UV-Vis, espectrómetro alfa con detector de germanio puro, espectrómetro de rayos X, microscopios electrónicos de barrido y de transmisión, </w:t>
      </w:r>
      <w:proofErr w:type="spellStart"/>
      <w:r>
        <w:t>bioanalizador</w:t>
      </w:r>
      <w:proofErr w:type="spellEnd"/>
      <w:r>
        <w:t xml:space="preserve"> de DNA y proteínas, microscopio de fluorescencia, microscopio </w:t>
      </w:r>
      <w:proofErr w:type="spellStart"/>
      <w:r>
        <w:t>confocal</w:t>
      </w:r>
      <w:proofErr w:type="spellEnd"/>
      <w:r>
        <w:t xml:space="preserve">, analizador de CO, CO2, </w:t>
      </w:r>
      <w:proofErr w:type="spellStart"/>
      <w:r>
        <w:t>NOx</w:t>
      </w:r>
      <w:proofErr w:type="spellEnd"/>
      <w:r>
        <w:t xml:space="preserve">, </w:t>
      </w:r>
      <w:proofErr w:type="spellStart"/>
      <w:r>
        <w:t>SOx</w:t>
      </w:r>
      <w:proofErr w:type="spellEnd"/>
      <w:r>
        <w:t xml:space="preserve">, MOUDI, monitores de partículas, detector de </w:t>
      </w:r>
      <w:proofErr w:type="spellStart"/>
      <w:r>
        <w:t>microfluorescencia</w:t>
      </w:r>
      <w:proofErr w:type="spellEnd"/>
      <w:r>
        <w:t xml:space="preserve"> de rayos X HORIBA, software para simulación de procesos térmicos TRNSYS, estaciones de trabajo, por mencionar algunos.</w:t>
      </w:r>
    </w:p>
    <w:p w:rsidR="00235602" w:rsidRDefault="00235602" w:rsidP="009755C2">
      <w:pPr>
        <w:jc w:val="both"/>
      </w:pPr>
      <w:r>
        <w:t>Los estudiantes hacen uso de los laboratorios mediante cursos prácticos y al momento de realizar su trabajo de tesis, lo que les da la formación en las competencias instrumentales; también, cuentan con un área especial para trabajo de gabinete y con un espacio de descanso equipado como cafetería.</w:t>
      </w:r>
    </w:p>
    <w:p w:rsidR="00235602" w:rsidRDefault="00235602" w:rsidP="009755C2">
      <w:pPr>
        <w:jc w:val="both"/>
      </w:pPr>
      <w:r>
        <w:t xml:space="preserve">Todos los investigadores cuentan con equipo de cómputo, existen alrededor de 360 computadoras personales, 8 impresoras láser de alta capacidad, 2 impresoras láser a color, 2 plotters a color de 36 pulgadas, equipos de ruteo, </w:t>
      </w:r>
      <w:proofErr w:type="spellStart"/>
      <w:r>
        <w:t>escaners</w:t>
      </w:r>
      <w:proofErr w:type="spellEnd"/>
      <w:r>
        <w:t xml:space="preserve"> y varios cañones portátiles para proyección.</w:t>
      </w:r>
    </w:p>
    <w:p w:rsidR="00235602" w:rsidRDefault="00235602" w:rsidP="009755C2">
      <w:pPr>
        <w:jc w:val="both"/>
      </w:pPr>
      <w:r>
        <w:t xml:space="preserve">Enlace a internet de 500Mbps, Red SIAC 1 </w:t>
      </w:r>
      <w:proofErr w:type="spellStart"/>
      <w:r>
        <w:t>Gbps</w:t>
      </w:r>
      <w:proofErr w:type="spellEnd"/>
      <w:r>
        <w:t xml:space="preserve">, 2 </w:t>
      </w:r>
      <w:proofErr w:type="spellStart"/>
      <w:r>
        <w:t>equiposde</w:t>
      </w:r>
      <w:proofErr w:type="spellEnd"/>
      <w:r>
        <w:t xml:space="preserve"> videoconferencia </w:t>
      </w:r>
      <w:proofErr w:type="spellStart"/>
      <w:r>
        <w:t>Lifesize</w:t>
      </w:r>
      <w:proofErr w:type="spellEnd"/>
      <w:r>
        <w:t xml:space="preserve"> y licenciamiento para usar la plataforma de videoconferencia </w:t>
      </w:r>
      <w:proofErr w:type="spellStart"/>
      <w:r>
        <w:t>BlueJeans</w:t>
      </w:r>
      <w:proofErr w:type="spellEnd"/>
      <w:r>
        <w:t>, más del 98 % del equipo de cómputo se encuentra conectado a la red y tiene acceso a internet.</w:t>
      </w:r>
    </w:p>
    <w:p w:rsidR="00235602" w:rsidRDefault="00235602" w:rsidP="009755C2">
      <w:pPr>
        <w:jc w:val="both"/>
      </w:pPr>
      <w:r>
        <w:t xml:space="preserve">Los recursos de información de forma remota son a través de la Red Privada Virtual (VPN Palo Alto), donde participan CARI y CONRIECYT y el CIMAV y son 22 bases de datos, existe un procedimiento para la selección de los recursos; algunas de las bases de datos son: </w:t>
      </w:r>
      <w:proofErr w:type="spellStart"/>
      <w:r>
        <w:t>Science</w:t>
      </w:r>
      <w:proofErr w:type="spellEnd"/>
      <w:r>
        <w:t xml:space="preserve"> </w:t>
      </w:r>
      <w:proofErr w:type="spellStart"/>
      <w:r>
        <w:t>Direct</w:t>
      </w:r>
      <w:proofErr w:type="spellEnd"/>
      <w:r>
        <w:t xml:space="preserve">, </w:t>
      </w:r>
      <w:proofErr w:type="spellStart"/>
      <w:r>
        <w:t>Scopus</w:t>
      </w:r>
      <w:proofErr w:type="spellEnd"/>
      <w:r>
        <w:t xml:space="preserve">, </w:t>
      </w:r>
      <w:proofErr w:type="spellStart"/>
      <w:r>
        <w:lastRenderedPageBreak/>
        <w:t>ProQuest</w:t>
      </w:r>
      <w:proofErr w:type="spellEnd"/>
      <w:r>
        <w:t xml:space="preserve">, </w:t>
      </w:r>
      <w:proofErr w:type="spellStart"/>
      <w:r>
        <w:t>Knovel</w:t>
      </w:r>
      <w:proofErr w:type="spellEnd"/>
      <w:r>
        <w:t xml:space="preserve">, </w:t>
      </w:r>
      <w:proofErr w:type="spellStart"/>
      <w:r>
        <w:t>Ebsco</w:t>
      </w:r>
      <w:proofErr w:type="spellEnd"/>
      <w:r>
        <w:t xml:space="preserve">, </w:t>
      </w:r>
      <w:proofErr w:type="spellStart"/>
      <w:r>
        <w:t>Emerald</w:t>
      </w:r>
      <w:proofErr w:type="spellEnd"/>
      <w:r>
        <w:t xml:space="preserve">, Gale, ISI Web of </w:t>
      </w:r>
      <w:proofErr w:type="spellStart"/>
      <w:r>
        <w:t>Knowledge</w:t>
      </w:r>
      <w:proofErr w:type="spellEnd"/>
      <w:r>
        <w:t xml:space="preserve">, Pro </w:t>
      </w:r>
      <w:proofErr w:type="spellStart"/>
      <w:r>
        <w:t>Quest</w:t>
      </w:r>
      <w:proofErr w:type="spellEnd"/>
      <w:r>
        <w:t xml:space="preserve"> </w:t>
      </w:r>
      <w:proofErr w:type="spellStart"/>
      <w:r>
        <w:t>Materials</w:t>
      </w:r>
      <w:proofErr w:type="spellEnd"/>
      <w:r>
        <w:t xml:space="preserve"> </w:t>
      </w:r>
      <w:proofErr w:type="spellStart"/>
      <w:r>
        <w:t>Science</w:t>
      </w:r>
      <w:proofErr w:type="spellEnd"/>
      <w:r>
        <w:t xml:space="preserve">, Oxford </w:t>
      </w:r>
      <w:proofErr w:type="spellStart"/>
      <w:r>
        <w:t>University</w:t>
      </w:r>
      <w:proofErr w:type="spellEnd"/>
      <w:r>
        <w:t xml:space="preserve"> </w:t>
      </w:r>
      <w:proofErr w:type="spellStart"/>
      <w:r>
        <w:t>Press</w:t>
      </w:r>
      <w:proofErr w:type="spellEnd"/>
      <w:r>
        <w:t xml:space="preserve">, </w:t>
      </w:r>
      <w:proofErr w:type="spellStart"/>
      <w:r>
        <w:t>Wiley</w:t>
      </w:r>
      <w:proofErr w:type="spellEnd"/>
      <w:r>
        <w:t xml:space="preserve"> y </w:t>
      </w:r>
      <w:proofErr w:type="spellStart"/>
      <w:r>
        <w:t>Springer</w:t>
      </w:r>
      <w:proofErr w:type="spellEnd"/>
      <w:r>
        <w:t>, entre otras.</w:t>
      </w:r>
    </w:p>
    <w:p w:rsidR="00235602" w:rsidRDefault="00235602" w:rsidP="009755C2">
      <w:pPr>
        <w:jc w:val="both"/>
      </w:pPr>
      <w:r>
        <w:t>Los estudiantes tienen acceso a las bases de datos a través de la red inalámbrica, disponible en todo el centro y en la biblioteca la cual cuenta con 12 computadoras y mobiliario adecuado conforme a las normas internacionales.</w:t>
      </w:r>
    </w:p>
    <w:p w:rsidR="00854B3E" w:rsidRDefault="00235602" w:rsidP="009755C2">
      <w:pPr>
        <w:jc w:val="both"/>
      </w:pPr>
      <w:r>
        <w:t>Hay 7 técnicos de la Coordinación de TICS, responsables de dar soporte técnico, administrar la red, desarrollar software científico y administrativo, dar mantenimiento preventivo y correctivo, entre otros servicios.</w:t>
      </w:r>
    </w:p>
    <w:p w:rsidR="00CA6F30" w:rsidRPr="009755C2" w:rsidRDefault="003C141A" w:rsidP="00B85FA9">
      <w:pPr>
        <w:rPr>
          <w:b/>
          <w:sz w:val="32"/>
          <w:szCs w:val="32"/>
        </w:rPr>
      </w:pPr>
      <w:r w:rsidRPr="009755C2">
        <w:rPr>
          <w:b/>
          <w:sz w:val="32"/>
          <w:szCs w:val="32"/>
        </w:rPr>
        <w:t xml:space="preserve">Categoría: </w:t>
      </w:r>
      <w:r w:rsidR="00CA6F30" w:rsidRPr="009755C2">
        <w:rPr>
          <w:b/>
          <w:sz w:val="32"/>
          <w:szCs w:val="32"/>
        </w:rPr>
        <w:t>Proceso académico del programa</w:t>
      </w:r>
    </w:p>
    <w:p w:rsidR="00E65069" w:rsidRPr="009755C2" w:rsidRDefault="00E65069" w:rsidP="00E65069">
      <w:pPr>
        <w:shd w:val="clear" w:color="auto" w:fill="FFFFFF"/>
        <w:spacing w:before="300" w:after="150" w:line="240" w:lineRule="auto"/>
        <w:outlineLvl w:val="1"/>
        <w:rPr>
          <w:b/>
          <w:sz w:val="28"/>
          <w:szCs w:val="28"/>
        </w:rPr>
      </w:pPr>
      <w:r w:rsidRPr="009755C2">
        <w:rPr>
          <w:b/>
          <w:sz w:val="28"/>
          <w:szCs w:val="28"/>
        </w:rPr>
        <w:t>Proceso de admisión</w:t>
      </w:r>
    </w:p>
    <w:p w:rsidR="00235602" w:rsidRDefault="00E65069" w:rsidP="009755C2">
      <w:pPr>
        <w:jc w:val="both"/>
      </w:pPr>
      <w:r>
        <w:t xml:space="preserve"> </w:t>
      </w:r>
      <w:r w:rsidR="00235602">
        <w:t>El programa cuenta con procesos de admisión colegiados, para una selección rigurosa de aspirantes, que eventualmente puedan ser admitidos. El proceso está descrito y normado por el Manual de Procedimientos de Posgrado que se presenta como medio de verificación; incluye procedimientos administrativos de servicios escolares y responsabilidades del personal de posgrado. Tiene como marco normativo la Ley de Ciencia y Tecnología, la Ley General de Educación, el Reglamento de Estudios de Posgrado y el Reglamento de Becas del CONACYT. En el Manual de Procedimientos de Posgrado están descritos los procesos de admisión, inscripción, selección de director de tesis, evaluación de protocolos, avances de investigación y obtención del grado.</w:t>
      </w:r>
    </w:p>
    <w:p w:rsidR="00235602" w:rsidRDefault="00235602" w:rsidP="009755C2">
      <w:pPr>
        <w:jc w:val="both"/>
      </w:pPr>
      <w:r>
        <w:t xml:space="preserve">El procedimiento de ingreso incluye elementos de evaluación integral que permiten el desarrollo de las competencias y habilidades de los estudiantes aceptados, basado en procesos que se realizan a nivel internacional. Esto determina el perfil necesario para cursar estudios a nivel posgrado en el área de ciencia y tecnología ambiental. </w:t>
      </w:r>
    </w:p>
    <w:p w:rsidR="00235602" w:rsidRDefault="00235602" w:rsidP="009755C2">
      <w:pPr>
        <w:jc w:val="both"/>
      </w:pPr>
      <w:r>
        <w:t>Procedimiento de selección</w:t>
      </w:r>
    </w:p>
    <w:p w:rsidR="00235602" w:rsidRDefault="00235602" w:rsidP="009755C2">
      <w:pPr>
        <w:jc w:val="both"/>
      </w:pPr>
      <w:r>
        <w:t xml:space="preserve">1) La convocatoria al programa se abre dos veces al año con una anticipación de 5 meses al inicio del ciclo escolar. La difusión de la convocatoria es a través de: página Web del CIMAV, ferias nacionales e internacionales de posgrado, boletín de la Secretaría de Relaciones Exteriores, redes sociales, distribución de material promocional en instituciones de educación superior en el país, entre otras. Con esto se busca aumentar el reclutamiento de aspirantes. La convocatoria permanece abierta por un periodo de dos meses. </w:t>
      </w:r>
    </w:p>
    <w:p w:rsidR="00235602" w:rsidRDefault="00235602" w:rsidP="009755C2">
      <w:pPr>
        <w:jc w:val="both"/>
      </w:pPr>
      <w:r>
        <w:t xml:space="preserve">En la página web del CIMAV, se describen los propósitos y objetivos del programa, los requisitos de admisión, normas y reglamentos, cursos y condiciones para la obtención del grado. </w:t>
      </w:r>
    </w:p>
    <w:p w:rsidR="00235602" w:rsidRDefault="00235602" w:rsidP="009755C2">
      <w:pPr>
        <w:jc w:val="both"/>
      </w:pPr>
      <w:r>
        <w:t xml:space="preserve">2) Recepción de solicitudes. El aspirante se registra en línea a través de la página de internet del CIMAV. El área de posgrado concentra las solicitudes y las organiza para su presentación al Comité de Estudios de Posgrado (CEP), el cual revisa la documentación para saber si es la apropiada para la etapa de introducción al proceso de selección, en base al perfil requerido. </w:t>
      </w:r>
    </w:p>
    <w:p w:rsidR="00235602" w:rsidRDefault="00235602" w:rsidP="009755C2">
      <w:pPr>
        <w:jc w:val="both"/>
      </w:pPr>
      <w:r>
        <w:t>3) En base al perfil requerido y la documentación presentada, el CEP hace la selección de aspirantes que van a realizar el examen de admisión.</w:t>
      </w:r>
    </w:p>
    <w:p w:rsidR="00235602" w:rsidRDefault="00235602" w:rsidP="009755C2">
      <w:pPr>
        <w:jc w:val="both"/>
      </w:pPr>
      <w:r>
        <w:lastRenderedPageBreak/>
        <w:t>4) En los exámenes de admisión, los aspirantes son evaluados en las áreas de Fisicoquímica, Química y Matemáticas. Los estudiantes que acreditan de forma sobresaliente los tres exámenes son admitidos de forma directa, en caso contrario, ingresan a un curso propedéutico.</w:t>
      </w:r>
    </w:p>
    <w:p w:rsidR="00235602" w:rsidRDefault="00235602" w:rsidP="009755C2">
      <w:pPr>
        <w:jc w:val="both"/>
      </w:pPr>
      <w:r>
        <w:t>5) Curso propedéutico. En la mayoría de los casos, los aspirantes son aceptados a un proceso de nivelación con los cursos propedéuticos en las tres áreas mencionadas. La duración de los cursos es de 8 semanas.</w:t>
      </w:r>
    </w:p>
    <w:p w:rsidR="00235602" w:rsidRDefault="00235602" w:rsidP="009755C2">
      <w:pPr>
        <w:jc w:val="both"/>
      </w:pPr>
      <w:r>
        <w:t>6) Una vez llevados a cabo el examen de admisión y el curso propedéutico, se presentan los resultados al CEP, y en colaboración con los docentes que participaron en el curso propedéutico, se analiza el ingreso de los estudiantes al programa.</w:t>
      </w:r>
    </w:p>
    <w:p w:rsidR="00235602" w:rsidRDefault="00235602" w:rsidP="009755C2">
      <w:pPr>
        <w:jc w:val="both"/>
      </w:pPr>
      <w:r>
        <w:t xml:space="preserve">7) Se informa de los resultados a los aspirantes y se inicia la inscripción de nuevo ingreso. El número de ingresos disponibles está relacionado a la capacidad de atención de los profesores y a los lineamientos de asignación de nuevos estudiantes. </w:t>
      </w:r>
    </w:p>
    <w:p w:rsidR="00235602" w:rsidRDefault="00235602" w:rsidP="009755C2">
      <w:pPr>
        <w:jc w:val="both"/>
      </w:pPr>
      <w:r>
        <w:t xml:space="preserve">Los aspirantes tienen la opción de realizar la solicitud de admisión desde cualquier parte del mundo, a través de la aplicación en línea de la página web del CIMAV. Actualmente el programa cuenta con estudiantes locales, nacionales y extranjeros. </w:t>
      </w:r>
    </w:p>
    <w:p w:rsidR="00E65069" w:rsidRDefault="00235602" w:rsidP="009755C2">
      <w:pPr>
        <w:jc w:val="both"/>
      </w:pPr>
      <w:r>
        <w:t>El 100 % de los estudiantes es de tiempo completo, con dedicación exclusiva al programa. Ésta se asegura a través de la beca CONACYT o de otro tipo. Se tiene un proceso de inducción y capacitación para generar un sentido de pertenencia institucional para los estudiantes, e informarles de sus obligaciones y derechos. Ver medios de verificación.</w:t>
      </w:r>
    </w:p>
    <w:p w:rsidR="00E65069" w:rsidRPr="009755C2" w:rsidRDefault="00E65069" w:rsidP="00E65069">
      <w:pPr>
        <w:shd w:val="clear" w:color="auto" w:fill="FFFFFF"/>
        <w:spacing w:before="300" w:after="150" w:line="240" w:lineRule="auto"/>
        <w:outlineLvl w:val="1"/>
        <w:rPr>
          <w:b/>
          <w:sz w:val="28"/>
          <w:szCs w:val="28"/>
        </w:rPr>
      </w:pPr>
      <w:r w:rsidRPr="009755C2">
        <w:rPr>
          <w:b/>
          <w:sz w:val="28"/>
          <w:szCs w:val="28"/>
        </w:rPr>
        <w:t>Seguimiento de la trayectoria académica de los estudiantes</w:t>
      </w:r>
    </w:p>
    <w:p w:rsidR="00235602" w:rsidRDefault="00235602" w:rsidP="009755C2">
      <w:pPr>
        <w:jc w:val="both"/>
      </w:pPr>
      <w:r>
        <w:t>El Departamento de Posgrado cuenta con una plataforma denominada Sistema de Administración de Posgrado (SAP), que integra toda la información de los estudiantes, incluyendo datos personales, académicos y laborales, lo que permite darles seguimiento a las trayectorias escolares de los estudiantes., desde su ingreso hasta su egreso. A través de los portales del SAP para alumnos y personal académico (alumnos.cimav.edu.mx y académicos.cimav.edu.mx), se resguarda y administra la información que se genera. Además, a través de la plataforma alumnos, semestralmente los estudiantes evalúan la calidad del posgrado y sus procesos, incluidos los relacionados al seguimiento de su avance de investigación hecho por su Comité Tutoral.</w:t>
      </w:r>
    </w:p>
    <w:p w:rsidR="00235602" w:rsidRDefault="00235602" w:rsidP="009755C2">
      <w:pPr>
        <w:jc w:val="both"/>
      </w:pPr>
      <w:r>
        <w:t>Los estudiantes no se encuentran integrados a los comités que toman decisiones académicas, pero cuando una decisión pudiera afectarles, se les informa y hay un consenso para buscar la solución más adecuada. Si se presenta una controversia entre estudiantes y personal académico, el Comité de Estudios de Posgrado (CEP) interviene para la resolución del conflicto y es el responsable de establecer políticas y normativas, así como de vigilar el buen desempeño académico del NAB y de los estudiantes.</w:t>
      </w:r>
    </w:p>
    <w:p w:rsidR="00235602" w:rsidRDefault="00235602" w:rsidP="009755C2">
      <w:pPr>
        <w:jc w:val="both"/>
      </w:pPr>
      <w:r>
        <w:t xml:space="preserve">Para detectar y erradicar el plagio en los productos académicos, todos los programas cuentan con una herramienta de software denominada </w:t>
      </w:r>
      <w:proofErr w:type="spellStart"/>
      <w:r>
        <w:t>iThenticate</w:t>
      </w:r>
      <w:proofErr w:type="spellEnd"/>
      <w:r>
        <w:t xml:space="preserve">, el cual es un verificador de similitud de contenidos editoriales y de investigación. Los trabajos de tesis son analizados una vez que el documento es entregado al Dpto. de Posgrado al solicitar su defensa. </w:t>
      </w:r>
    </w:p>
    <w:p w:rsidR="00235602" w:rsidRDefault="00235602" w:rsidP="009755C2">
      <w:pPr>
        <w:jc w:val="both"/>
      </w:pPr>
      <w:r>
        <w:lastRenderedPageBreak/>
        <w:t>La eficacia del programa de tutorías se evalúa en base a la eficiencia terminal y la tasa de graduación. La trayectoria escolar es analizada de manera colegiada a través del Comité de Admisión, del Comité de Pares y del Comité de Estudios de Posgrado:</w:t>
      </w:r>
    </w:p>
    <w:p w:rsidR="00235602" w:rsidRDefault="00235602" w:rsidP="009755C2">
      <w:pPr>
        <w:jc w:val="both"/>
      </w:pPr>
      <w:r>
        <w:t xml:space="preserve">1) En el programa de la MCTA se considera al director de tesis como responsable de la orientación del estudiante durante toda su trayectoria escolar. Las responsabilidades del director y procedimientos están descritas en el Manual de Procedimientos y en el Reglamentos de Estudios de Posgrado. Existen también las figuras de </w:t>
      </w:r>
      <w:proofErr w:type="spellStart"/>
      <w:r>
        <w:t>co</w:t>
      </w:r>
      <w:proofErr w:type="spellEnd"/>
      <w:r>
        <w:t>-director y director externo. Éste último puede estar adscrito a una institución nacional o extranjera.</w:t>
      </w:r>
    </w:p>
    <w:p w:rsidR="00235602" w:rsidRDefault="00235602" w:rsidP="009755C2">
      <w:pPr>
        <w:jc w:val="both"/>
      </w:pPr>
      <w:r>
        <w:t>2) El Comité de Pares funge como responsable de evaluar los avances de investigación y articular la formación integral de los estudiantes con los objetivos de investigación plasmados en las LGAC del programa. Está integrado por académicos expertos en el tema de tesis y deben ser al menos 2 internos. Adicionalmente puede haber un externo, que puede estar adscrito a una institución nacional o extranjera.</w:t>
      </w:r>
    </w:p>
    <w:p w:rsidR="00235602" w:rsidRDefault="00235602" w:rsidP="009755C2">
      <w:pPr>
        <w:jc w:val="both"/>
      </w:pPr>
      <w:r>
        <w:t xml:space="preserve">3) El CEP es el responsable de vigilar el buen desempeño académico del NAB y de los estudiantes. Interviene para la resolución de conflictos y es el responsable de establecer políticas y normativas. Entre otras cosas regula el número de estudiantes por profesor a través del indicador número de estudiante/profesor. Para este programa no se permiten más de 4 estudiantes por profesor, lo que concuerda con la recomendación del CONACYT. </w:t>
      </w:r>
    </w:p>
    <w:p w:rsidR="00235602" w:rsidRDefault="00235602" w:rsidP="009755C2">
      <w:pPr>
        <w:jc w:val="both"/>
      </w:pPr>
      <w:r>
        <w:t>El CEP también vigila el uso equitativo de los recursos a través del otorgamiento de becas y apoyos económicos.</w:t>
      </w:r>
    </w:p>
    <w:p w:rsidR="00235602" w:rsidRDefault="00235602" w:rsidP="009755C2">
      <w:pPr>
        <w:jc w:val="both"/>
      </w:pPr>
      <w:r>
        <w:t>Antes de que concluya el primer semestre, el Posgrado organiza seminarios para que los alumnos conozcan los temas de tesis de maestría de cada profesor, y puedan hacer una selección de dos opciones de tesis. Esta información es analizada por el CEP, quien asigna al director de tesis para cada estudiante, así como al Comité de Pares, quien se encarga de dar seguimiento y retroalimentación en su trayectoria académica.</w:t>
      </w:r>
    </w:p>
    <w:p w:rsidR="00CA6F30" w:rsidRDefault="00235602" w:rsidP="009755C2">
      <w:pPr>
        <w:jc w:val="both"/>
      </w:pPr>
      <w:r>
        <w:t>Los proyectos de tesis son novedosos y responden a las necesidades de los sectores sociales, ya sea de forma directa o indirecta, dependiendo de la línea de investigación. Ver medios de verificación.</w:t>
      </w:r>
    </w:p>
    <w:p w:rsidR="00E65069" w:rsidRPr="009755C2" w:rsidRDefault="00E65069" w:rsidP="00E65069">
      <w:pPr>
        <w:shd w:val="clear" w:color="auto" w:fill="FFFFFF"/>
        <w:spacing w:before="300" w:after="150" w:line="240" w:lineRule="auto"/>
        <w:outlineLvl w:val="1"/>
        <w:rPr>
          <w:b/>
          <w:sz w:val="28"/>
          <w:szCs w:val="28"/>
        </w:rPr>
      </w:pPr>
      <w:r w:rsidRPr="009755C2">
        <w:rPr>
          <w:b/>
          <w:sz w:val="28"/>
          <w:szCs w:val="28"/>
        </w:rPr>
        <w:t>Proceso de formación</w:t>
      </w:r>
    </w:p>
    <w:p w:rsidR="00235602" w:rsidRDefault="00235602" w:rsidP="009755C2">
      <w:pPr>
        <w:jc w:val="both"/>
      </w:pPr>
      <w:r>
        <w:t xml:space="preserve">El Plan de Estudios de la MCTA incluye una formación disciplinar que contempla cursos básicos, de formación y optativos. Los cursos básicos son obligatorios para todos los estudiantes y se enfocan en los temas generales en Ciencia y Tecnología Ambiental. Los cursos de formación y los optativos son elegidos por el estudiante y su director de tesis de manera tal que aporten conocimientos directamente en el tema de tesis. </w:t>
      </w:r>
    </w:p>
    <w:p w:rsidR="00235602" w:rsidRDefault="00235602" w:rsidP="009755C2">
      <w:pPr>
        <w:jc w:val="both"/>
      </w:pPr>
      <w:r>
        <w:t xml:space="preserve">Estas asignaturas permiten desarrollar habilidades analíticas y argumentativas, promoviendo la discusión de resultados de sus tesis, lo que favorece el proceso de enseñanza-aprendizaje. Esto fomenta que las asignaturas se cursen con un carácter autodidacta, ya que pueden ser desarrolladas en forma de seminarios por los propios estudiantes bajo la orientación del profesor de la asignatura. </w:t>
      </w:r>
    </w:p>
    <w:p w:rsidR="00235602" w:rsidRDefault="00235602" w:rsidP="009755C2">
      <w:pPr>
        <w:jc w:val="both"/>
      </w:pPr>
      <w:r>
        <w:lastRenderedPageBreak/>
        <w:t xml:space="preserve">El Plan también contempla Actividades Complementarias para conformar el perfil de egreso deseado, como el Seminario de Metodología de la Investigación, que permite desarrollar habilidades para estructurar un plan de trabajo de tesis; los alumnos van presentando sus avances de tesis, favoreciendo la autonomía intelectual y el aprendizaje auto dirigido. También se promueve el intercambio de conocimiento realizando estancias de investigación en otras instituciones. </w:t>
      </w:r>
    </w:p>
    <w:p w:rsidR="00235602" w:rsidRDefault="00235602" w:rsidP="009755C2">
      <w:pPr>
        <w:jc w:val="both"/>
      </w:pPr>
      <w:r>
        <w:t xml:space="preserve">Los estudiantes participan de forma obligatoria semanalmente en el Seminario de Ciencia y Tecnología Ambiental, donde presentan los avances de sus tesis y discuten los resultados de las mismas. </w:t>
      </w:r>
    </w:p>
    <w:p w:rsidR="00235602" w:rsidRDefault="00235602" w:rsidP="009755C2">
      <w:pPr>
        <w:jc w:val="both"/>
      </w:pPr>
      <w:r>
        <w:t xml:space="preserve">Las tesis de maestría están insertadas en el marco de proyectos de investigación financiados mayoritariamente por el CONACYT. Esto garantiza la disposición de recursos para desarrollar las tesis; hay algunas </w:t>
      </w:r>
      <w:proofErr w:type="spellStart"/>
      <w:r>
        <w:t>multi</w:t>
      </w:r>
      <w:proofErr w:type="spellEnd"/>
      <w:r>
        <w:t xml:space="preserve"> o interdisciplinarias, y tienen un impacto en problemáticas del entorno local o nacional, incidiendo en la solución original e innovadora de problemas específicos de la sociedad. </w:t>
      </w:r>
    </w:p>
    <w:p w:rsidR="00235602" w:rsidRDefault="00235602" w:rsidP="009755C2">
      <w:pPr>
        <w:jc w:val="both"/>
      </w:pPr>
      <w:r>
        <w:t xml:space="preserve">El CIMAV cuenta con un repositorio de acceso público a las tesis y productos de investigación. Se respeta el derecho de autor, se supervisa que los periodos de embargo se hayan vencido y que el material sea público. Se pueden consultar tesis de maestría y doctorado, artículos, libros, capítulos de libros, información sobre patentes y desarrollos tecnológicos, por citar solo algunos. El repositorio del CIMAV está entre los 5 más consultados a nivel nacional. </w:t>
      </w:r>
    </w:p>
    <w:p w:rsidR="00235602" w:rsidRDefault="00235602" w:rsidP="009755C2">
      <w:pPr>
        <w:jc w:val="both"/>
      </w:pPr>
      <w:r>
        <w:t xml:space="preserve">Los estudiantes de la MCTA participan en congresos, conferencias y reuniones científicas, donde exponen sus trabajos de tesis. A raíz de la pandemia, estos eventos se realizan de forma virtual y en menor número presencial. </w:t>
      </w:r>
    </w:p>
    <w:p w:rsidR="00235602" w:rsidRDefault="00235602" w:rsidP="009755C2">
      <w:pPr>
        <w:jc w:val="both"/>
      </w:pPr>
      <w:r>
        <w:t xml:space="preserve">En el programa se promueve que los alumnos realicen estancias de investigación en otras instituciones. Los productos obtenidos de las estancias son: grados duales, artículos internacionales, cursos, desarrollo de proyectos, tesis y presentaciones de trabajos en congresos internacionales. </w:t>
      </w:r>
    </w:p>
    <w:p w:rsidR="00235602" w:rsidRDefault="00235602" w:rsidP="009755C2">
      <w:pPr>
        <w:jc w:val="both"/>
      </w:pPr>
      <w:r>
        <w:t xml:space="preserve">Algunos alumnos realizaron estancias académicas para complementar sus proyectos de investigación con centros universitarios con los que se tiene convenio académico: está el caso de la </w:t>
      </w:r>
      <w:proofErr w:type="spellStart"/>
      <w:r>
        <w:t>Universitat</w:t>
      </w:r>
      <w:proofErr w:type="spellEnd"/>
      <w:r>
        <w:t xml:space="preserve"> de les Illes Balears (UIB) en España, donde hay un convenio de doble titulación y se han graduado 5 estudiantes con grado dual. También se han hecho estancias en la </w:t>
      </w:r>
      <w:proofErr w:type="spellStart"/>
      <w:r>
        <w:t>Université</w:t>
      </w:r>
      <w:proofErr w:type="spellEnd"/>
      <w:r>
        <w:t xml:space="preserve"> de Pau y en el </w:t>
      </w:r>
      <w:proofErr w:type="spellStart"/>
      <w:r>
        <w:t>Institut</w:t>
      </w:r>
      <w:proofErr w:type="spellEnd"/>
      <w:r>
        <w:t xml:space="preserve"> Jean </w:t>
      </w:r>
      <w:proofErr w:type="spellStart"/>
      <w:r>
        <w:t>Lamour</w:t>
      </w:r>
      <w:proofErr w:type="spellEnd"/>
      <w:r>
        <w:t xml:space="preserve">-ENSTIB, ambos en Francia. De 2015 a la fecha, 7 estudiantes han realizado estancias de investigación en otras instituciones. </w:t>
      </w:r>
    </w:p>
    <w:p w:rsidR="00854B3E" w:rsidRDefault="00235602" w:rsidP="009755C2">
      <w:pPr>
        <w:jc w:val="both"/>
      </w:pPr>
      <w:r>
        <w:t>Las estancias de investigación fortalecen el proceso de formación, investigación y tesis de los estudiantes y profesores y aportan una mejoría a los procesos tecnológicos, de innovación y científicos. Su financiamiento ha estado soportado por la convocatoria de becas mixtas del CONACYT. Sin embargo, debido a que los recursos son cada vez más limitados, el posgrado ha financiado parcialmente estas estancias, de acuerdo a la disponibilidad presupuestaria. El CEP se encarga de la distribución equitativa de los recursos para becas y apoyos. Ver medios de verificación.</w:t>
      </w:r>
    </w:p>
    <w:p w:rsidR="00B85FA9" w:rsidRDefault="00B85FA9" w:rsidP="00B85FA9"/>
    <w:p w:rsidR="00B85FA9" w:rsidRDefault="00B85FA9"/>
    <w:p w:rsidR="009755C2" w:rsidRDefault="009755C2"/>
    <w:p w:rsidR="00534231" w:rsidRPr="009755C2" w:rsidRDefault="00336451">
      <w:pPr>
        <w:rPr>
          <w:b/>
          <w:sz w:val="32"/>
          <w:szCs w:val="32"/>
        </w:rPr>
      </w:pPr>
      <w:r w:rsidRPr="009755C2">
        <w:rPr>
          <w:b/>
          <w:sz w:val="32"/>
          <w:szCs w:val="32"/>
        </w:rPr>
        <w:lastRenderedPageBreak/>
        <w:t xml:space="preserve">Categoría: </w:t>
      </w:r>
      <w:r w:rsidR="00534231" w:rsidRPr="009755C2">
        <w:rPr>
          <w:b/>
          <w:sz w:val="32"/>
          <w:szCs w:val="32"/>
        </w:rPr>
        <w:t>Pertinencia del programa de posgrado</w:t>
      </w:r>
    </w:p>
    <w:p w:rsidR="00534231" w:rsidRPr="009755C2" w:rsidRDefault="00534231" w:rsidP="00534231">
      <w:pPr>
        <w:shd w:val="clear" w:color="auto" w:fill="FFFFFF"/>
        <w:spacing w:before="300" w:after="150" w:line="240" w:lineRule="auto"/>
        <w:outlineLvl w:val="1"/>
        <w:rPr>
          <w:b/>
          <w:sz w:val="28"/>
          <w:szCs w:val="28"/>
        </w:rPr>
      </w:pPr>
      <w:r w:rsidRPr="009755C2">
        <w:rPr>
          <w:b/>
          <w:sz w:val="28"/>
          <w:szCs w:val="28"/>
        </w:rPr>
        <w:t xml:space="preserve">Enfoque inter, </w:t>
      </w:r>
      <w:proofErr w:type="spellStart"/>
      <w:r w:rsidRPr="009755C2">
        <w:rPr>
          <w:b/>
          <w:sz w:val="28"/>
          <w:szCs w:val="28"/>
        </w:rPr>
        <w:t>multi</w:t>
      </w:r>
      <w:proofErr w:type="spellEnd"/>
      <w:r w:rsidRPr="009755C2">
        <w:rPr>
          <w:b/>
          <w:sz w:val="28"/>
          <w:szCs w:val="28"/>
        </w:rPr>
        <w:t xml:space="preserve">, </w:t>
      </w:r>
      <w:proofErr w:type="spellStart"/>
      <w:r w:rsidRPr="009755C2">
        <w:rPr>
          <w:b/>
          <w:sz w:val="28"/>
          <w:szCs w:val="28"/>
        </w:rPr>
        <w:t>transdisciplinar</w:t>
      </w:r>
      <w:proofErr w:type="spellEnd"/>
      <w:r w:rsidRPr="009755C2">
        <w:rPr>
          <w:b/>
          <w:sz w:val="28"/>
          <w:szCs w:val="28"/>
        </w:rPr>
        <w:t xml:space="preserve"> de la innovación</w:t>
      </w:r>
    </w:p>
    <w:p w:rsidR="007338F9" w:rsidRDefault="007338F9" w:rsidP="009755C2">
      <w:pPr>
        <w:jc w:val="both"/>
      </w:pPr>
      <w:r>
        <w:t>Los integrantes del NAB que abarca las dos LGAC de Química Ambiental y Medio Ambiente y Energía, dirigen estudiantes del Programa de Maestría en Ciencia y Tecnología Ambiental (</w:t>
      </w:r>
      <w:proofErr w:type="spellStart"/>
      <w:r>
        <w:t>MCyTA</w:t>
      </w:r>
      <w:proofErr w:type="spellEnd"/>
      <w:r>
        <w:t xml:space="preserve">) con un enfoque multidisciplinario que incluyen entre éstas, las áreas de química analítica ambiental, biología molecular, biotecnología, modelado molecular y química computacional, energías renovables, nanotecnología, síntesis de materiales con aplicaciones ambientales, conversión sustentable de residuos y simulación de la dispersión de contaminantes en matrices ambientales. A través de las cuales se desarrollan temas de investigación con orientación inter y </w:t>
      </w:r>
      <w:proofErr w:type="spellStart"/>
      <w:r>
        <w:t>transdisciplinaria</w:t>
      </w:r>
      <w:proofErr w:type="spellEnd"/>
      <w:r>
        <w:t xml:space="preserve">, por ejemplo, el desarrollo de materiales </w:t>
      </w:r>
      <w:proofErr w:type="spellStart"/>
      <w:r>
        <w:t>nanoestructurados</w:t>
      </w:r>
      <w:proofErr w:type="spellEnd"/>
      <w:r>
        <w:t xml:space="preserve"> con aplicaciones ambientales, impacto de contaminantes emergentes en matrices ambientales, Sistemas en flujo automatizados para la cuantificación de </w:t>
      </w:r>
      <w:proofErr w:type="spellStart"/>
      <w:r>
        <w:t>analitos</w:t>
      </w:r>
      <w:proofErr w:type="spellEnd"/>
      <w:r>
        <w:t xml:space="preserve"> en matrices ambientales, estudio de cambios en el </w:t>
      </w:r>
      <w:proofErr w:type="spellStart"/>
      <w:r>
        <w:t>microbioma</w:t>
      </w:r>
      <w:proofErr w:type="spellEnd"/>
      <w:r>
        <w:t xml:space="preserve"> de matrices ambientales expuestos a </w:t>
      </w:r>
      <w:proofErr w:type="spellStart"/>
      <w:r>
        <w:t>nanomateriales</w:t>
      </w:r>
      <w:proofErr w:type="spellEnd"/>
      <w:r>
        <w:t xml:space="preserve"> con aplicaciones ambientales o agrícolas, energía </w:t>
      </w:r>
      <w:proofErr w:type="spellStart"/>
      <w:r>
        <w:t>termosolar</w:t>
      </w:r>
      <w:proofErr w:type="spellEnd"/>
      <w:r>
        <w:t>, entre otros.</w:t>
      </w:r>
    </w:p>
    <w:p w:rsidR="007338F9" w:rsidRDefault="007338F9" w:rsidP="009755C2">
      <w:pPr>
        <w:jc w:val="both"/>
      </w:pPr>
      <w:r>
        <w:t xml:space="preserve">El NAB en articulación con los alumnos de </w:t>
      </w:r>
      <w:proofErr w:type="spellStart"/>
      <w:r>
        <w:t>MCyTA</w:t>
      </w:r>
      <w:proofErr w:type="spellEnd"/>
      <w:r>
        <w:t xml:space="preserve"> también desarrolla proyectos vinculados con sectores productivos y sociales desde un enfoque inter, </w:t>
      </w:r>
      <w:proofErr w:type="spellStart"/>
      <w:r>
        <w:t>multi</w:t>
      </w:r>
      <w:proofErr w:type="spellEnd"/>
      <w:r>
        <w:t xml:space="preserve"> y </w:t>
      </w:r>
      <w:proofErr w:type="spellStart"/>
      <w:r>
        <w:t>transdisciplinar</w:t>
      </w:r>
      <w:proofErr w:type="spellEnd"/>
      <w:r>
        <w:t xml:space="preserve">. Entre los proyectos se ejemplifican, la vinculación con la industria para el desarrollo de combustibles alternos a base de residuos industriales y agroforestales, su </w:t>
      </w:r>
      <w:proofErr w:type="spellStart"/>
      <w:r>
        <w:t>co</w:t>
      </w:r>
      <w:proofErr w:type="spellEnd"/>
      <w:r>
        <w:t xml:space="preserve">-procesamiento en un horno cementero y el monitoreo de la calidad del aire en el </w:t>
      </w:r>
      <w:proofErr w:type="spellStart"/>
      <w:r>
        <w:t>co</w:t>
      </w:r>
      <w:proofErr w:type="spellEnd"/>
      <w:r>
        <w:t xml:space="preserve">-procesamiento. También la </w:t>
      </w:r>
      <w:proofErr w:type="spellStart"/>
      <w:r>
        <w:t>co</w:t>
      </w:r>
      <w:proofErr w:type="spellEnd"/>
      <w:r>
        <w:t>-generación de energía eléctrica a partir de la radiación solar para el calentamiento de agua en ambientes domésticos. Igualmente, un proyecto con incidencia social es sobre la remediación de humedales de Málaga en pro de restablecer el equilibrio de los ecosistemas que sustentan algunas de las actividades vulnerables como la ganadería y la agricultura.</w:t>
      </w:r>
    </w:p>
    <w:p w:rsidR="007338F9" w:rsidRDefault="007338F9" w:rsidP="009755C2">
      <w:pPr>
        <w:jc w:val="both"/>
      </w:pPr>
      <w:r>
        <w:t xml:space="preserve">Los ejemplos descritos y otros se encuentran en los medios de verificación, entre éstos los sociales. </w:t>
      </w:r>
    </w:p>
    <w:p w:rsidR="007338F9" w:rsidRDefault="007338F9" w:rsidP="009755C2">
      <w:pPr>
        <w:jc w:val="both"/>
      </w:pPr>
      <w:r>
        <w:t xml:space="preserve">Algunos proyectos además de la incidencia en desarrollos tecnológicos, tiene incidencia social, como el manejo de residuos de forma sustentable evitando impactos en el ambiente y salud humana. Igual el aprovechamiento de la energía solar en el proceso de calentamiento de agua, a favor de la economía local de proveedores de hogares y de la sustentabilidad ambiental. </w:t>
      </w:r>
    </w:p>
    <w:p w:rsidR="007338F9" w:rsidRDefault="007338F9" w:rsidP="009755C2">
      <w:pPr>
        <w:jc w:val="both"/>
      </w:pPr>
      <w:r>
        <w:t xml:space="preserve">Por su parte, los estudiantes del Programa </w:t>
      </w:r>
      <w:proofErr w:type="spellStart"/>
      <w:r>
        <w:t>MCyTA</w:t>
      </w:r>
      <w:proofErr w:type="spellEnd"/>
      <w:r>
        <w:t xml:space="preserve"> asisten y presentan sus avances de investigación, en seminarios de Ciencia y Tecnología Ambiental programados semanalmente en cada semestre, eso como una actividad de formación complementaria. Asimismo, previo a la definición de una fecha para la presentación de defensa de su examen de grado, los alumnos presentan ante la comunidad académica del Programa de adscripción, un seminario final de los resultados del trabajo de tesis, donde son evaluados por un comité de pares que emite observaciones para la versión final de su tesis de acuerdo a lo establecido en el Reglamento de Estudios de Posgrado.</w:t>
      </w:r>
    </w:p>
    <w:p w:rsidR="00534231" w:rsidRDefault="007338F9" w:rsidP="009755C2">
      <w:pPr>
        <w:jc w:val="both"/>
      </w:pPr>
      <w:r>
        <w:t xml:space="preserve">En el programa de </w:t>
      </w:r>
      <w:proofErr w:type="spellStart"/>
      <w:r>
        <w:t>MCyTA</w:t>
      </w:r>
      <w:proofErr w:type="spellEnd"/>
      <w:r>
        <w:t>, los proyectos de investigación de los alumnos se les da seguimiento desde el planteamiento y los avances semestrales de investigación, mediante un comité tutoral y un director de tesis por cada alumno del Programa.</w:t>
      </w:r>
    </w:p>
    <w:p w:rsidR="00534231" w:rsidRDefault="00534231" w:rsidP="00534231"/>
    <w:p w:rsidR="00534231" w:rsidRPr="009755C2" w:rsidRDefault="00534231" w:rsidP="00534231">
      <w:pPr>
        <w:shd w:val="clear" w:color="auto" w:fill="FFFFFF"/>
        <w:spacing w:before="300" w:after="150" w:line="240" w:lineRule="auto"/>
        <w:outlineLvl w:val="1"/>
        <w:rPr>
          <w:b/>
          <w:sz w:val="28"/>
          <w:szCs w:val="28"/>
        </w:rPr>
      </w:pPr>
      <w:r w:rsidRPr="009755C2">
        <w:rPr>
          <w:b/>
          <w:sz w:val="28"/>
          <w:szCs w:val="28"/>
        </w:rPr>
        <w:lastRenderedPageBreak/>
        <w:t>Colaboración con los sectores de la sociedad</w:t>
      </w:r>
    </w:p>
    <w:p w:rsidR="007338F9" w:rsidRDefault="007338F9" w:rsidP="009755C2">
      <w:pPr>
        <w:jc w:val="both"/>
      </w:pPr>
      <w:r>
        <w:t>El Programa de Maestría en Ciencia y Tecnología Ambiental (</w:t>
      </w:r>
      <w:proofErr w:type="spellStart"/>
      <w:r>
        <w:t>MCyTA</w:t>
      </w:r>
      <w:proofErr w:type="spellEnd"/>
      <w:r>
        <w:t xml:space="preserve">) mantiene una vinculación con sectores sociales que incluyen agricultores regionales, alumnos de educación básica, media superior y superior, instituciones de educación superior, </w:t>
      </w:r>
      <w:proofErr w:type="spellStart"/>
      <w:r>
        <w:t>asi</w:t>
      </w:r>
      <w:proofErr w:type="spellEnd"/>
      <w:r>
        <w:t xml:space="preserve"> como con dependencias federales como la CONAGUA, municipales y operadores del agua locales. También se tiene vinculación con el sector industrial.</w:t>
      </w:r>
    </w:p>
    <w:p w:rsidR="007338F9" w:rsidRDefault="007338F9" w:rsidP="009755C2">
      <w:pPr>
        <w:jc w:val="both"/>
      </w:pPr>
      <w:r>
        <w:t xml:space="preserve">La vinculación con los sectores sociales ejemplificados, se articula a través del NAB y alumnos del programa, mediante el desarrollo de proyectos con incidencia social, como el estudio del comportamiento de </w:t>
      </w:r>
      <w:proofErr w:type="spellStart"/>
      <w:r>
        <w:t>nanopartículas</w:t>
      </w:r>
      <w:proofErr w:type="spellEnd"/>
      <w:r>
        <w:t xml:space="preserve"> (con potencial uso en cultivos) en suelos agrícolas para fomentar su uso sustentable, y la vinculación reciente con agricultores para el desarrollo de </w:t>
      </w:r>
      <w:proofErr w:type="spellStart"/>
      <w:r>
        <w:t>biocontroladores</w:t>
      </w:r>
      <w:proofErr w:type="spellEnd"/>
      <w:r>
        <w:t xml:space="preserve"> de malezas en la producción de chile como alternativa sustentable a los plaguicidas químicos. Igual, sobre la remediación de humedales de Málaga en pro de restablecer el equilibrio de los ecosistemas que sustentan algunas de las actividades vulnerables como la ganadería y la agricultura. También se firmó recientemente un convenio con la Junta Municipal de Agua y Saneamiento de Chihuahua (JAMAS) para el desarrollo de proyectos en el tema de agua desde un enfoque de economía circular. Relacionado con la industria se ha colaborado en la </w:t>
      </w:r>
      <w:proofErr w:type="spellStart"/>
      <w:r>
        <w:t>co</w:t>
      </w:r>
      <w:proofErr w:type="spellEnd"/>
      <w:r>
        <w:t xml:space="preserve">-generación de energía eléctrica a partir de la radiación solar, y para la deshidratación de vegetales. </w:t>
      </w:r>
    </w:p>
    <w:p w:rsidR="007338F9" w:rsidRDefault="007338F9" w:rsidP="009755C2">
      <w:pPr>
        <w:jc w:val="both"/>
      </w:pPr>
      <w:r>
        <w:t>Esos proyectos y otros, así como ejemplo de convenios, se encuentran en los medios de verificación, entre éstos los sociales.</w:t>
      </w:r>
    </w:p>
    <w:p w:rsidR="007338F9" w:rsidRDefault="007338F9" w:rsidP="009755C2">
      <w:pPr>
        <w:jc w:val="both"/>
      </w:pPr>
      <w:r>
        <w:t xml:space="preserve">Con el fin de proveer acceso universal del conocimiento generado por el desarrollo de proyectos de investigación en el programa y también de despertar las vocaciones científicas de niños y jóvenes, El NAB y alumnos participan activamente en la difusión de la ciencia en ferias de libro, ferias juvenil e </w:t>
      </w:r>
      <w:proofErr w:type="spellStart"/>
      <w:r>
        <w:t>infaltil</w:t>
      </w:r>
      <w:proofErr w:type="spellEnd"/>
      <w:r>
        <w:t xml:space="preserve"> de arte y ciencia, visitas guiadas presenciales y virtuales a los laboratorios del CIMAV, cápsulas informativas a través de videos en la página web del CIMAV, entrevistas de los investigadores en la radio, acceso en línea al repositorio institucional, como se detalla en los medios de verificación. Así como en la participación activa en foros y talleres científicos, seminarios, verano de la investigación científica, entre otros. </w:t>
      </w:r>
    </w:p>
    <w:p w:rsidR="007338F9" w:rsidRDefault="007338F9" w:rsidP="009755C2">
      <w:pPr>
        <w:jc w:val="both"/>
      </w:pPr>
      <w:r>
        <w:t xml:space="preserve">Igualmente, el Programa se vincula con instituciones de educación superior a través del desarrollo de proyectos, </w:t>
      </w:r>
      <w:proofErr w:type="spellStart"/>
      <w:r>
        <w:t>co</w:t>
      </w:r>
      <w:proofErr w:type="spellEnd"/>
      <w:r>
        <w:t xml:space="preserve">-direcciones de tesis, publicaciones de artículos, etc. También se hace </w:t>
      </w:r>
      <w:proofErr w:type="spellStart"/>
      <w:r>
        <w:t>enfásis</w:t>
      </w:r>
      <w:proofErr w:type="spellEnd"/>
      <w:r>
        <w:t xml:space="preserve"> en la </w:t>
      </w:r>
      <w:proofErr w:type="spellStart"/>
      <w:r>
        <w:t>vunculación</w:t>
      </w:r>
      <w:proofErr w:type="spellEnd"/>
      <w:r>
        <w:t xml:space="preserve"> del programa con el sector productivo y social a través de proyectos de investigación y desarrollo tecnológico como se describe en el -Criterio 10: Enfoque inter, </w:t>
      </w:r>
      <w:proofErr w:type="spellStart"/>
      <w:r>
        <w:t>multi</w:t>
      </w:r>
      <w:proofErr w:type="spellEnd"/>
      <w:r>
        <w:t xml:space="preserve"> y </w:t>
      </w:r>
      <w:proofErr w:type="spellStart"/>
      <w:r>
        <w:t>transdisciplinar</w:t>
      </w:r>
      <w:proofErr w:type="spellEnd"/>
      <w:r>
        <w:t xml:space="preserve"> de</w:t>
      </w:r>
      <w:r w:rsidR="009755C2">
        <w:t xml:space="preserve"> la investigación e innovación.</w:t>
      </w:r>
    </w:p>
    <w:p w:rsidR="007338F9" w:rsidRDefault="007338F9" w:rsidP="009755C2">
      <w:pPr>
        <w:jc w:val="both"/>
      </w:pPr>
      <w:r>
        <w:t xml:space="preserve">Los proyectos de investigación que se desarrollan van acorde a las LGAC del posgrado y también se alinean directamente en el objetivo 4 del Programa Institucional 2020-2024 del Consejo Nacional de Ciencia y Tecnología, que refiere a -Fortalecer y consolidar las capacidades de la comunidad científica del país para generar conocimientos científicos de frontera con el potencial de incidir en el potencial bienestar de la población y el cuidado del ambiente-, lo que deriva en la generación de capital humano con conocimientos científicos de frontera con el potencial de incidir en el bienestar de la población y el cuidado del ambiente. </w:t>
      </w:r>
    </w:p>
    <w:p w:rsidR="007338F9" w:rsidRDefault="007338F9" w:rsidP="009755C2">
      <w:pPr>
        <w:jc w:val="both"/>
      </w:pPr>
    </w:p>
    <w:p w:rsidR="007338F9" w:rsidRDefault="007338F9" w:rsidP="009755C2">
      <w:pPr>
        <w:jc w:val="both"/>
      </w:pPr>
      <w:r>
        <w:lastRenderedPageBreak/>
        <w:t>Todas las acciones descritas permiten al programa una articulación con el sector productivo, social, académico y gubernamental. Actualmente se están fortaleciendo la articulación de las áreas y estrategias para impulsar la vinculación con los diferentes sectores.</w:t>
      </w:r>
    </w:p>
    <w:p w:rsidR="00534231" w:rsidRDefault="007338F9" w:rsidP="009755C2">
      <w:pPr>
        <w:jc w:val="both"/>
      </w:pPr>
      <w:r>
        <w:t xml:space="preserve">En el marco internacional, </w:t>
      </w:r>
      <w:proofErr w:type="spellStart"/>
      <w:r>
        <w:t>esta</w:t>
      </w:r>
      <w:proofErr w:type="spellEnd"/>
      <w:r>
        <w:t xml:space="preserve"> vigente el programa de doble titulación con la Universidad de las Islas Baleares, estancias de alumnos y académicas en Instituciones Internacionales, alumnos del Programa inscritos y graduados de otros países.</w:t>
      </w:r>
    </w:p>
    <w:p w:rsidR="00534231" w:rsidRDefault="00534231" w:rsidP="009755C2">
      <w:pPr>
        <w:jc w:val="both"/>
      </w:pPr>
    </w:p>
    <w:p w:rsidR="00FF6752" w:rsidRPr="009755C2" w:rsidRDefault="00336451" w:rsidP="00534231">
      <w:pPr>
        <w:rPr>
          <w:b/>
          <w:sz w:val="32"/>
          <w:szCs w:val="32"/>
        </w:rPr>
      </w:pPr>
      <w:r w:rsidRPr="009755C2">
        <w:rPr>
          <w:b/>
          <w:sz w:val="32"/>
          <w:szCs w:val="32"/>
        </w:rPr>
        <w:t xml:space="preserve">Categoría: </w:t>
      </w:r>
      <w:r w:rsidR="00FF6752" w:rsidRPr="009755C2">
        <w:rPr>
          <w:b/>
          <w:sz w:val="32"/>
          <w:szCs w:val="32"/>
        </w:rPr>
        <w:t>Relevancia de los resultados del programa</w:t>
      </w:r>
    </w:p>
    <w:p w:rsidR="00522A82" w:rsidRPr="009755C2" w:rsidRDefault="00522A82" w:rsidP="00522A82">
      <w:pPr>
        <w:shd w:val="clear" w:color="auto" w:fill="FFFFFF"/>
        <w:spacing w:before="300" w:after="150" w:line="240" w:lineRule="auto"/>
        <w:outlineLvl w:val="1"/>
        <w:rPr>
          <w:b/>
          <w:sz w:val="28"/>
          <w:szCs w:val="28"/>
        </w:rPr>
      </w:pPr>
      <w:r w:rsidRPr="009755C2">
        <w:rPr>
          <w:b/>
          <w:sz w:val="28"/>
          <w:szCs w:val="28"/>
        </w:rPr>
        <w:t>Trascendencia y evolución del programa</w:t>
      </w:r>
    </w:p>
    <w:p w:rsidR="005C067E" w:rsidRDefault="00522A82" w:rsidP="009755C2">
      <w:pPr>
        <w:jc w:val="both"/>
      </w:pPr>
      <w:r>
        <w:t xml:space="preserve"> </w:t>
      </w:r>
      <w:r w:rsidR="005C067E">
        <w:t>El programa de Maestría en Ciencia y Tecnología Ambiental ha trascendido geográficamente, contando con alumnos de la localidad, de otros estados del país e incluso de otros países de los diversos continentes. Los alumnos inscritos en los programas de doble titulación, son apoyados para realizar parte de sus estudios en Universidades de otros países e incluso han sido contratados por estas universidades.</w:t>
      </w:r>
    </w:p>
    <w:p w:rsidR="005C067E" w:rsidRDefault="005C067E" w:rsidP="009755C2">
      <w:pPr>
        <w:jc w:val="both"/>
      </w:pPr>
      <w:r>
        <w:t xml:space="preserve">La trascendencia de los egresados se evalúa tanto a corto como a mediano plazo, utilizando diferentes herramientas para medir su satisfacción en el trabajo, en los ingresos y en los logros en el entorno laboral y social. Una de estas herramientas es el Programa de Seguimiento de Egresados que cuenta 5 indicadores: mercado laboral, relación con la institución de egreso, transición educación empleo, desempeño laboral y motivaciones. </w:t>
      </w:r>
    </w:p>
    <w:p w:rsidR="005C067E" w:rsidRDefault="005C067E" w:rsidP="009755C2">
      <w:pPr>
        <w:jc w:val="both"/>
      </w:pPr>
      <w:r>
        <w:t>El análisis de la inserción laboral y académica de los egresados de las generaciones 2016-1 a 2021-1 muestra que existe una fuerte demanda de la academia de los maestros formados en nuestra institución. En el periodo se graduaron 33 Maestros en Ciencia y Tecnología Ambiental. Del total de egresados, 28% ingresaron al programa de doctorado en la institución, algunos con temas afines a los que realizaron durante la maestría, mientras que otros realizan investigaciones en temas nuevos. El 15% son empleados del sector empresarial y 36% del sector educativo. En el sector productivo hay una menor inserción, pero se trabaja en mantener los planes de estudio acordes a la demanda de este sector.</w:t>
      </w:r>
    </w:p>
    <w:p w:rsidR="00522A82" w:rsidRDefault="005C067E" w:rsidP="009755C2">
      <w:pPr>
        <w:jc w:val="both"/>
      </w:pPr>
      <w:r>
        <w:t>El programa cuenta actualmente con 14 investigadores consolidados dentro del Núcleo Académico Básico, todos están dirigiendo al menos una tesis. La asignación de alumnos se realiza de común acuerdo entre el investigador y el alumno, acorde a las líneas de investigación seleccionadas por este último y la infraestructura y proyectos de investigación disponibles.</w:t>
      </w:r>
    </w:p>
    <w:p w:rsidR="00522A82" w:rsidRPr="009755C2" w:rsidRDefault="00522A82" w:rsidP="00522A82">
      <w:pPr>
        <w:shd w:val="clear" w:color="auto" w:fill="FFFFFF"/>
        <w:spacing w:before="300" w:after="150" w:line="240" w:lineRule="auto"/>
        <w:outlineLvl w:val="1"/>
        <w:rPr>
          <w:b/>
          <w:sz w:val="28"/>
          <w:szCs w:val="28"/>
        </w:rPr>
      </w:pPr>
      <w:r w:rsidRPr="009755C2">
        <w:rPr>
          <w:b/>
          <w:sz w:val="28"/>
          <w:szCs w:val="28"/>
        </w:rPr>
        <w:t>Redes de las personas egresadas</w:t>
      </w:r>
    </w:p>
    <w:p w:rsidR="005C067E" w:rsidRDefault="005C067E" w:rsidP="009755C2">
      <w:pPr>
        <w:jc w:val="both"/>
      </w:pPr>
      <w:r>
        <w:t>La encuesta a egresados mide la satisfacción del programa. Incluye la evaluación de la infraestructura de los laboratorios, de las aulas y su mobiliario y la accesibilidad para personas con discapacidad, entre otras. La última encuesta muestra que un 50% mencionaron estar totalmente satisfechos, 40% medianamente satisfechos, 10% no respondieron.</w:t>
      </w:r>
    </w:p>
    <w:p w:rsidR="005C067E" w:rsidRDefault="005C067E" w:rsidP="005C067E"/>
    <w:p w:rsidR="005C067E" w:rsidRDefault="005C067E" w:rsidP="009755C2">
      <w:pPr>
        <w:jc w:val="both"/>
      </w:pPr>
      <w:r>
        <w:lastRenderedPageBreak/>
        <w:t xml:space="preserve">También se cuenta con una plataforma que contiene información del historial académico de los egresados. En ella se localizan los datos sobre su situación laboral, así como la evolución de la misma. </w:t>
      </w:r>
    </w:p>
    <w:p w:rsidR="00522A82" w:rsidRDefault="005C067E" w:rsidP="009755C2">
      <w:pPr>
        <w:jc w:val="both"/>
      </w:pPr>
      <w:r>
        <w:t>Se cuenta con el Manual de Gestión de la Calidad del Posgrado, en el cual se incluyen los mecanismos para el seguimiento de la trayectoria académica de los estudiantes del programa, desde su ingreso hasta su egreso. Así mismo, contiene todos los pasos del proceso de formación, evaluaciones, dirección de tesis y documento final de investigación para defensa de grado. Adicionalmente, desde la última evaluación, se creó un sistema integral para el seguimiento académico administrativo de las trayectorias escolares de los estudiantes. Se trata del Sistema de Aseguramiento de la Calidad del Posgrado que incluye dos plataformas: alumnos.cimav.edu.mx y académicos.cimav.edu.mx. En ellos se resguarda y administra la información que se genera en la relación académica estudiante-Comité de Pares. Actualmente la institución trabaja en la creación de una red de egresados.</w:t>
      </w:r>
    </w:p>
    <w:p w:rsidR="00522A82" w:rsidRPr="009755C2" w:rsidRDefault="00522A82" w:rsidP="00522A82">
      <w:pPr>
        <w:shd w:val="clear" w:color="auto" w:fill="FFFFFF"/>
        <w:spacing w:before="300" w:after="150" w:line="240" w:lineRule="auto"/>
        <w:outlineLvl w:val="1"/>
        <w:rPr>
          <w:b/>
          <w:sz w:val="28"/>
          <w:szCs w:val="28"/>
        </w:rPr>
      </w:pPr>
      <w:r w:rsidRPr="009755C2">
        <w:rPr>
          <w:b/>
          <w:sz w:val="28"/>
          <w:szCs w:val="28"/>
        </w:rPr>
        <w:t>Eficiencia terminal y tasa de graduación</w:t>
      </w:r>
    </w:p>
    <w:p w:rsidR="005C067E" w:rsidRDefault="005C067E" w:rsidP="009755C2">
      <w:pPr>
        <w:jc w:val="both"/>
      </w:pPr>
      <w:r>
        <w:t xml:space="preserve">La asignación de estudiantes se hace con base en la trayectoria del posible director de tesis, considerando su historial académico en relación con su desempeño para graduar alumnos en el tiempo establecido por el CONACYT, su capacidad para financiar la investigación de tesis del estudiante y la disponibilidad de cupo e infraestructura. Además, semestralmente el Comité de Pares evalúa el avance de la investigación de los alumnos y acota de ser necesario los objetivos para concluir en el tiempo señalado en el reglamento. </w:t>
      </w:r>
    </w:p>
    <w:p w:rsidR="005C067E" w:rsidRDefault="005C067E" w:rsidP="009755C2">
      <w:pPr>
        <w:jc w:val="both"/>
      </w:pPr>
      <w:r>
        <w:t>Adicionalmente, el Posgrado da seguimiento al trabajo de los alumnos mediante la comunicación directa con su director de tesis. Es importante mencionar que, en los esquemas de productividad de los investigadores, se considera la conclusión de las tesis dentro del plazo establecido.</w:t>
      </w:r>
    </w:p>
    <w:p w:rsidR="005C067E" w:rsidRDefault="005C067E" w:rsidP="009755C2">
      <w:pPr>
        <w:jc w:val="both"/>
      </w:pPr>
      <w:r>
        <w:t xml:space="preserve">En este escrito se presenta un análisis sobre los alumnos que concluyeron sus estudios y obtuvieron su grado académico en el tiempo establecido por el CONACYT. De acuerdo con la última evaluación de los 31 alumnos reportados como activos se graduaron 21. </w:t>
      </w:r>
    </w:p>
    <w:p w:rsidR="00522A82" w:rsidRDefault="005C067E" w:rsidP="009755C2">
      <w:pPr>
        <w:jc w:val="both"/>
      </w:pPr>
      <w:r>
        <w:t>Para la evaluación actual en el programa de maestría se considera a las generaciones comprendidas de 2016-1 a 2021-1. De los alumnos que ya obtuvieron el grado, todos lo hicieron en el tiempo establecido por CONACYT, lo que da una eficiencia terminal del 100%.</w:t>
      </w:r>
    </w:p>
    <w:p w:rsidR="00522A82" w:rsidRPr="00A72192" w:rsidRDefault="00522A82" w:rsidP="00522A82">
      <w:pPr>
        <w:shd w:val="clear" w:color="auto" w:fill="FFFFFF"/>
        <w:spacing w:before="300" w:after="150" w:line="240" w:lineRule="auto"/>
        <w:outlineLvl w:val="1"/>
        <w:rPr>
          <w:b/>
          <w:sz w:val="28"/>
          <w:szCs w:val="28"/>
        </w:rPr>
      </w:pPr>
      <w:r w:rsidRPr="00A72192">
        <w:rPr>
          <w:b/>
          <w:sz w:val="28"/>
          <w:szCs w:val="28"/>
        </w:rPr>
        <w:t>Productividad en investigación e innovación</w:t>
      </w:r>
    </w:p>
    <w:p w:rsidR="005C067E" w:rsidRDefault="005C067E" w:rsidP="00A72192">
      <w:pPr>
        <w:jc w:val="both"/>
      </w:pPr>
      <w:r>
        <w:t xml:space="preserve">Con relación a la productividad en investigación e innovación, el programa de maestría en Ciencia y Tecnología Ambiental cuenta con participaciones de los estudiantes y los miembros del NAB en proyectos con el sector productivo, la academia y el sector social. </w:t>
      </w:r>
    </w:p>
    <w:p w:rsidR="005C067E" w:rsidRDefault="005C067E" w:rsidP="00A72192">
      <w:pPr>
        <w:jc w:val="both"/>
      </w:pPr>
      <w:r>
        <w:t xml:space="preserve">La producción de los miembros del NAB muestra que al menos cada uno de ellos cuenta con al menos 2 productos de investigación durante el periodo y al menos uno de ellos es derivado de la actividad académica con sus estudiantes. En los artículos publicados por los miembros del NAB, aparecen los nombres de los alumnos como autores. Considerando que en el programa de maestría los alumnos tienen como requisito de graduación, cumplir con los créditos y elaborar el documento de tesis, no están obligados a publicar, sin embargo, existen algunos productos de investigación e </w:t>
      </w:r>
      <w:r>
        <w:lastRenderedPageBreak/>
        <w:t>innovación en los cuales los alumnos participan activamente. La producción del NAB incluye 318 artículos publicados en revistas indizadas JCR, 205 artículos in extenso en congresos internacionales y 61 libros y capítulos de libros. 69 proyectos de investigación de convocatorias nacionales y extranjeras-</w:t>
      </w:r>
      <w:proofErr w:type="spellStart"/>
      <w:r>
        <w:t>Conacyt</w:t>
      </w:r>
      <w:proofErr w:type="spellEnd"/>
      <w:r>
        <w:t xml:space="preserve">. Los miembros del NAB tuvieron 271 participaciones como evaluadores de artículos y proyectos y fungieron como </w:t>
      </w:r>
      <w:proofErr w:type="spellStart"/>
      <w:r>
        <w:t>chairman</w:t>
      </w:r>
      <w:proofErr w:type="spellEnd"/>
      <w:r>
        <w:t xml:space="preserve"> de 19 congresos nacionales e internacionales. En el periodo de evaluación se consiguieron 21 proyectos de vinculación con la industria y se registraron 19 patentes. </w:t>
      </w:r>
    </w:p>
    <w:p w:rsidR="005C067E" w:rsidRDefault="005C067E" w:rsidP="00A72192">
      <w:pPr>
        <w:jc w:val="both"/>
      </w:pPr>
      <w:r>
        <w:t xml:space="preserve">Algunos de los artículos publicados cuentan con factor de impacto superior a 6 e incluso existen publicaciones con factor de impacto de 10.58 y otros han recibido premios como el </w:t>
      </w:r>
      <w:proofErr w:type="spellStart"/>
      <w:r>
        <w:t>Best</w:t>
      </w:r>
      <w:proofErr w:type="spellEnd"/>
      <w:r>
        <w:t xml:space="preserve"> </w:t>
      </w:r>
      <w:proofErr w:type="spellStart"/>
      <w:r>
        <w:t>Paper</w:t>
      </w:r>
      <w:proofErr w:type="spellEnd"/>
      <w:r>
        <w:t xml:space="preserve"> </w:t>
      </w:r>
      <w:proofErr w:type="spellStart"/>
      <w:r>
        <w:t>Awards</w:t>
      </w:r>
      <w:proofErr w:type="spellEnd"/>
      <w:r>
        <w:t xml:space="preserve"> de la reconocida editorial MDPI Publishing. </w:t>
      </w:r>
    </w:p>
    <w:p w:rsidR="00522A82" w:rsidRDefault="005C067E" w:rsidP="00A72192">
      <w:pPr>
        <w:jc w:val="both"/>
      </w:pPr>
      <w:r>
        <w:t>Adicionalmente a los productos de investigación e innovación, los estudiantes del programa trabajan de manera activa en las actividades de divulgación de la ciencia, actividades de carácter social que se llevan a cabo periódicamente y son organizadas por instituciones y organizaciones como la Secretaría de Cultura del Gobierno del Estado y el Programa Alas y Raíces a nivel nacional. En estas actividades los alumnos comparten con el público en general, los conocimientos aprendidos durante su estancia en el programa y aprenden a compartirlo en un lenguaje no técnico, lo cual los capacita para mostrar a la sociedad en general la importancia de la ciencia y la tecnología y fomentar las vocaciones científicas.</w:t>
      </w:r>
    </w:p>
    <w:p w:rsidR="00522A82" w:rsidRPr="00A72192" w:rsidRDefault="00522A82" w:rsidP="00A72192">
      <w:pPr>
        <w:shd w:val="clear" w:color="auto" w:fill="FFFFFF"/>
        <w:spacing w:before="300" w:after="150" w:line="240" w:lineRule="auto"/>
        <w:jc w:val="both"/>
        <w:outlineLvl w:val="1"/>
        <w:rPr>
          <w:b/>
          <w:sz w:val="28"/>
          <w:szCs w:val="28"/>
        </w:rPr>
      </w:pPr>
      <w:r w:rsidRPr="00A72192">
        <w:rPr>
          <w:b/>
          <w:sz w:val="28"/>
          <w:szCs w:val="28"/>
        </w:rPr>
        <w:t>Cumplimiento de las recomendaciones de la última evaluación y plan de mejora</w:t>
      </w:r>
    </w:p>
    <w:p w:rsidR="005C067E" w:rsidRDefault="005C067E" w:rsidP="00A72192">
      <w:pPr>
        <w:jc w:val="both"/>
      </w:pPr>
      <w:r>
        <w:t xml:space="preserve">1.Todos los miembros del NAB cuentan con su CVU actualizado. </w:t>
      </w:r>
    </w:p>
    <w:p w:rsidR="005C067E" w:rsidRDefault="005C067E" w:rsidP="00A72192">
      <w:pPr>
        <w:jc w:val="both"/>
      </w:pPr>
      <w:r>
        <w:t xml:space="preserve">2. El plan de estudios busca la formación integral de los estudiantes. Un egresado de la MCTA adquiere competencias cognitivas como la capacidad metodológica para la investigación y habilidades instrumentales. Esto le permite integrarse fácilmente al programa de Doctorado. </w:t>
      </w:r>
    </w:p>
    <w:p w:rsidR="005C067E" w:rsidRDefault="005C067E" w:rsidP="00A72192">
      <w:pPr>
        <w:jc w:val="both"/>
      </w:pPr>
      <w:r>
        <w:t>Tanto en el Programa de Maestría como en el de Doctorado, las LGAC son las mismas. Lo que le permite al alumno ingresar de forma directa al Doctorado, siempre y cuando se mantenga en la misma línea de investigación y se recomiende su ingreso por su asesor y por los miembros de su comité de pares.</w:t>
      </w:r>
    </w:p>
    <w:p w:rsidR="005C067E" w:rsidRDefault="005C067E" w:rsidP="00A72192">
      <w:pPr>
        <w:jc w:val="both"/>
      </w:pPr>
      <w:r>
        <w:t xml:space="preserve">3. El programa se difunde en la página web del CIMAV y en la del Consejo Asesor de Divulgación, Comunicación y Relaciones Públicas del </w:t>
      </w:r>
      <w:proofErr w:type="spellStart"/>
      <w:r>
        <w:t>CONACyT</w:t>
      </w:r>
      <w:proofErr w:type="spellEnd"/>
      <w:r>
        <w:t>; en las redes sociales, a través de trípticos con la información del programa en todos los eventos académicos donde participa el CIMAV.</w:t>
      </w:r>
    </w:p>
    <w:p w:rsidR="005C067E" w:rsidRDefault="005C067E" w:rsidP="00A72192">
      <w:pPr>
        <w:jc w:val="both"/>
      </w:pPr>
      <w:r>
        <w:t xml:space="preserve">Se ofrecen visitas guiadas presenciales y virtuales a los laboratorios del Centro. Se atendieron más de 50 visitas con 1238 alumnos. Se han atendido a varias IES, por mencionar algunas: Tecnológico Nacional de México, </w:t>
      </w:r>
      <w:proofErr w:type="spellStart"/>
      <w:r>
        <w:t>Tec</w:t>
      </w:r>
      <w:proofErr w:type="spellEnd"/>
      <w:r>
        <w:t xml:space="preserve"> de Monterrey; Universidad Iberoamericana de Torreón; Universidad del Valle de México. </w:t>
      </w:r>
    </w:p>
    <w:p w:rsidR="005C067E" w:rsidRDefault="005C067E" w:rsidP="00A72192">
      <w:pPr>
        <w:jc w:val="both"/>
      </w:pPr>
      <w:r>
        <w:t>Se ofrecen visitas guiadas, presenciales y virtuales a los laboratorios del Centro. Se desarrollan actividades de difusión en congresos, ferias y actividades académicas en IES para dar a conocer las líneas de investigación, con el fin de atraer estudiantes. Además, se llevan a cabo actividades de divulgación en primarias y secundarias, para fomentar las vocaciones científicas.</w:t>
      </w:r>
    </w:p>
    <w:p w:rsidR="005C067E" w:rsidRDefault="005C067E" w:rsidP="00A72192">
      <w:pPr>
        <w:jc w:val="both"/>
      </w:pPr>
      <w:r>
        <w:lastRenderedPageBreak/>
        <w:t>4. La política de calidad del posgrado es: Otorgar satisfactoriamente los servicios académicos y escolares con la calidad y eficiencia requeridos para la formación de capital humano de calidad de los programas de posgrado, inmersos siempre en un proceso de mejora continua.</w:t>
      </w:r>
    </w:p>
    <w:p w:rsidR="005C067E" w:rsidRDefault="005C067E" w:rsidP="00A72192">
      <w:pPr>
        <w:jc w:val="both"/>
      </w:pPr>
      <w:r>
        <w:t>Los objetivos de calidad del Posgrado son:</w:t>
      </w:r>
    </w:p>
    <w:p w:rsidR="005C067E" w:rsidRDefault="005C067E" w:rsidP="00A72192">
      <w:pPr>
        <w:jc w:val="both"/>
      </w:pPr>
      <w:r>
        <w:t>Mantener un sistema de mejora continua conforme a los requerimientos del entorno académico y tecnológico.</w:t>
      </w:r>
    </w:p>
    <w:p w:rsidR="005C067E" w:rsidRDefault="005C067E" w:rsidP="00A72192">
      <w:pPr>
        <w:jc w:val="both"/>
      </w:pPr>
      <w:r>
        <w:t>Fortalecer las competencias docentes del personal académico a través de la capacitación continua.</w:t>
      </w:r>
    </w:p>
    <w:p w:rsidR="005C067E" w:rsidRDefault="005C067E" w:rsidP="00A72192">
      <w:pPr>
        <w:jc w:val="both"/>
      </w:pPr>
      <w:r>
        <w:t>Aplicar procesos estandarizados para el servicio y la atención a la trayectoria escolar de los estudiantes con base en el Reglamento de Estudios de Posgrado.</w:t>
      </w:r>
    </w:p>
    <w:p w:rsidR="005C067E" w:rsidRDefault="005C067E" w:rsidP="00A72192">
      <w:pPr>
        <w:jc w:val="both"/>
      </w:pPr>
      <w:r>
        <w:t>Contar con información veraz y oportuna, disponible a través del Sistema de Administración de Posgrado.</w:t>
      </w:r>
    </w:p>
    <w:p w:rsidR="005C067E" w:rsidRDefault="005C067E" w:rsidP="00A72192">
      <w:pPr>
        <w:jc w:val="both"/>
      </w:pPr>
      <w:r>
        <w:t>5. Existe un programa de tutorías que consiste en un Comité de pares, cuya función es dar seguimiento al proyecto de investigación del estudiante. Así lo establece el Artículo 14 del Reglamento de Estudios de Posgrado del CIMAV. Este Comité es elegido de acuerdo con el artículo 15 del mencionado Reglamento. Para integrarlo se requiere tener grado de doctorado y afinidad al proyecto de investigación. Entre sus obligaciones están, apoyar y asesorar al alumno durante su trayectoria académica y evaluar su avance semestralmente.</w:t>
      </w:r>
    </w:p>
    <w:p w:rsidR="005C067E" w:rsidRDefault="005C067E" w:rsidP="00A72192">
      <w:pPr>
        <w:jc w:val="both"/>
      </w:pPr>
      <w:r>
        <w:t>6. Además de la convocatoria de becas de movilidad del CONACYT, en el CIMAV se cuenta con la información de las Convocatorias Internacionales para movilidad tanto de académicos como de estudiantes, se difunden por correo electrónico y en la página del CIMAV: https://cimav.edu.mx/convocatorias-externas-vigentes.</w:t>
      </w:r>
    </w:p>
    <w:p w:rsidR="005C067E" w:rsidRDefault="005C067E" w:rsidP="00A72192">
      <w:pPr>
        <w:jc w:val="both"/>
      </w:pPr>
      <w:r>
        <w:t>El Centro otorga un apoyo para los estudiantes que optan por la doble titulación.</w:t>
      </w:r>
    </w:p>
    <w:p w:rsidR="005C067E" w:rsidRDefault="005C067E" w:rsidP="00A72192">
      <w:pPr>
        <w:jc w:val="both"/>
      </w:pPr>
      <w:r>
        <w:t>7. El presupuesto para la Dirección de Vinculación proviene de recursos propios y fiscales, y su objetivo principal es atraer recursos de las empresas. Algunos de los estudiantes realizan parte o la totalidad de su tesis en proyectos vinculados con la industria.</w:t>
      </w:r>
    </w:p>
    <w:p w:rsidR="005C067E" w:rsidRDefault="005C067E" w:rsidP="00A72192">
      <w:pPr>
        <w:jc w:val="both"/>
      </w:pPr>
      <w:r>
        <w:t>Los estudiantes del Programa cuentan con un presupuesto semestral para ser utilizado en varios rubros entre los cuales se encuentra la inscripción a congresos o gastos de movilidad para estancias académicas, mismos que son complementados con recursos de proyectos por convocatoria. Ejemplo: Proyecto Ecos Nord 263456.</w:t>
      </w:r>
    </w:p>
    <w:p w:rsidR="00B85FA9" w:rsidRDefault="005C067E" w:rsidP="00A72192">
      <w:pPr>
        <w:jc w:val="both"/>
      </w:pPr>
      <w:r>
        <w:t>8. El documento se presentará en el medio de verificación correspondiente.</w:t>
      </w:r>
      <w:bookmarkStart w:id="0" w:name="_GoBack"/>
      <w:bookmarkEnd w:id="0"/>
    </w:p>
    <w:sectPr w:rsidR="00B85F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73D52"/>
    <w:multiLevelType w:val="hybridMultilevel"/>
    <w:tmpl w:val="8B8039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5FA7FEC"/>
    <w:multiLevelType w:val="hybridMultilevel"/>
    <w:tmpl w:val="28A8FF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4D"/>
    <w:rsid w:val="001C6C94"/>
    <w:rsid w:val="00200E95"/>
    <w:rsid w:val="00235602"/>
    <w:rsid w:val="00336451"/>
    <w:rsid w:val="003817B7"/>
    <w:rsid w:val="003C141A"/>
    <w:rsid w:val="004C4C52"/>
    <w:rsid w:val="004E7FD9"/>
    <w:rsid w:val="00522A82"/>
    <w:rsid w:val="00534231"/>
    <w:rsid w:val="005C067E"/>
    <w:rsid w:val="00685093"/>
    <w:rsid w:val="007338F9"/>
    <w:rsid w:val="0084645D"/>
    <w:rsid w:val="00854B3E"/>
    <w:rsid w:val="00870FF9"/>
    <w:rsid w:val="009635BC"/>
    <w:rsid w:val="009755C2"/>
    <w:rsid w:val="00A72192"/>
    <w:rsid w:val="00B33593"/>
    <w:rsid w:val="00B85FA9"/>
    <w:rsid w:val="00C23CC1"/>
    <w:rsid w:val="00C8161C"/>
    <w:rsid w:val="00CA6F30"/>
    <w:rsid w:val="00CD3CA9"/>
    <w:rsid w:val="00CD7FEE"/>
    <w:rsid w:val="00DE0451"/>
    <w:rsid w:val="00E65069"/>
    <w:rsid w:val="00E74A4D"/>
    <w:rsid w:val="00FA5A34"/>
    <w:rsid w:val="00FF67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CB29"/>
  <w15:chartTrackingRefBased/>
  <w15:docId w15:val="{BD917E90-E321-4926-9999-BEAA3AE4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5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90919">
      <w:bodyDiv w:val="1"/>
      <w:marLeft w:val="0"/>
      <w:marRight w:val="0"/>
      <w:marTop w:val="0"/>
      <w:marBottom w:val="0"/>
      <w:divBdr>
        <w:top w:val="none" w:sz="0" w:space="0" w:color="auto"/>
        <w:left w:val="none" w:sz="0" w:space="0" w:color="auto"/>
        <w:bottom w:val="none" w:sz="0" w:space="0" w:color="auto"/>
        <w:right w:val="none" w:sz="0" w:space="0" w:color="auto"/>
      </w:divBdr>
    </w:div>
    <w:div w:id="290134580">
      <w:bodyDiv w:val="1"/>
      <w:marLeft w:val="0"/>
      <w:marRight w:val="0"/>
      <w:marTop w:val="0"/>
      <w:marBottom w:val="0"/>
      <w:divBdr>
        <w:top w:val="none" w:sz="0" w:space="0" w:color="auto"/>
        <w:left w:val="none" w:sz="0" w:space="0" w:color="auto"/>
        <w:bottom w:val="none" w:sz="0" w:space="0" w:color="auto"/>
        <w:right w:val="none" w:sz="0" w:space="0" w:color="auto"/>
      </w:divBdr>
    </w:div>
    <w:div w:id="294875709">
      <w:bodyDiv w:val="1"/>
      <w:marLeft w:val="0"/>
      <w:marRight w:val="0"/>
      <w:marTop w:val="0"/>
      <w:marBottom w:val="0"/>
      <w:divBdr>
        <w:top w:val="none" w:sz="0" w:space="0" w:color="auto"/>
        <w:left w:val="none" w:sz="0" w:space="0" w:color="auto"/>
        <w:bottom w:val="none" w:sz="0" w:space="0" w:color="auto"/>
        <w:right w:val="none" w:sz="0" w:space="0" w:color="auto"/>
      </w:divBdr>
    </w:div>
    <w:div w:id="614092370">
      <w:bodyDiv w:val="1"/>
      <w:marLeft w:val="0"/>
      <w:marRight w:val="0"/>
      <w:marTop w:val="0"/>
      <w:marBottom w:val="0"/>
      <w:divBdr>
        <w:top w:val="none" w:sz="0" w:space="0" w:color="auto"/>
        <w:left w:val="none" w:sz="0" w:space="0" w:color="auto"/>
        <w:bottom w:val="none" w:sz="0" w:space="0" w:color="auto"/>
        <w:right w:val="none" w:sz="0" w:space="0" w:color="auto"/>
      </w:divBdr>
    </w:div>
    <w:div w:id="899366919">
      <w:bodyDiv w:val="1"/>
      <w:marLeft w:val="0"/>
      <w:marRight w:val="0"/>
      <w:marTop w:val="0"/>
      <w:marBottom w:val="0"/>
      <w:divBdr>
        <w:top w:val="none" w:sz="0" w:space="0" w:color="auto"/>
        <w:left w:val="none" w:sz="0" w:space="0" w:color="auto"/>
        <w:bottom w:val="none" w:sz="0" w:space="0" w:color="auto"/>
        <w:right w:val="none" w:sz="0" w:space="0" w:color="auto"/>
      </w:divBdr>
    </w:div>
    <w:div w:id="921914919">
      <w:bodyDiv w:val="1"/>
      <w:marLeft w:val="0"/>
      <w:marRight w:val="0"/>
      <w:marTop w:val="0"/>
      <w:marBottom w:val="0"/>
      <w:divBdr>
        <w:top w:val="none" w:sz="0" w:space="0" w:color="auto"/>
        <w:left w:val="none" w:sz="0" w:space="0" w:color="auto"/>
        <w:bottom w:val="none" w:sz="0" w:space="0" w:color="auto"/>
        <w:right w:val="none" w:sz="0" w:space="0" w:color="auto"/>
      </w:divBdr>
    </w:div>
    <w:div w:id="1001934135">
      <w:bodyDiv w:val="1"/>
      <w:marLeft w:val="0"/>
      <w:marRight w:val="0"/>
      <w:marTop w:val="0"/>
      <w:marBottom w:val="0"/>
      <w:divBdr>
        <w:top w:val="none" w:sz="0" w:space="0" w:color="auto"/>
        <w:left w:val="none" w:sz="0" w:space="0" w:color="auto"/>
        <w:bottom w:val="none" w:sz="0" w:space="0" w:color="auto"/>
        <w:right w:val="none" w:sz="0" w:space="0" w:color="auto"/>
      </w:divBdr>
    </w:div>
    <w:div w:id="1023943864">
      <w:bodyDiv w:val="1"/>
      <w:marLeft w:val="0"/>
      <w:marRight w:val="0"/>
      <w:marTop w:val="0"/>
      <w:marBottom w:val="0"/>
      <w:divBdr>
        <w:top w:val="none" w:sz="0" w:space="0" w:color="auto"/>
        <w:left w:val="none" w:sz="0" w:space="0" w:color="auto"/>
        <w:bottom w:val="none" w:sz="0" w:space="0" w:color="auto"/>
        <w:right w:val="none" w:sz="0" w:space="0" w:color="auto"/>
      </w:divBdr>
    </w:div>
    <w:div w:id="1030304029">
      <w:bodyDiv w:val="1"/>
      <w:marLeft w:val="0"/>
      <w:marRight w:val="0"/>
      <w:marTop w:val="0"/>
      <w:marBottom w:val="0"/>
      <w:divBdr>
        <w:top w:val="none" w:sz="0" w:space="0" w:color="auto"/>
        <w:left w:val="none" w:sz="0" w:space="0" w:color="auto"/>
        <w:bottom w:val="none" w:sz="0" w:space="0" w:color="auto"/>
        <w:right w:val="none" w:sz="0" w:space="0" w:color="auto"/>
      </w:divBdr>
    </w:div>
    <w:div w:id="1101873923">
      <w:bodyDiv w:val="1"/>
      <w:marLeft w:val="0"/>
      <w:marRight w:val="0"/>
      <w:marTop w:val="0"/>
      <w:marBottom w:val="0"/>
      <w:divBdr>
        <w:top w:val="none" w:sz="0" w:space="0" w:color="auto"/>
        <w:left w:val="none" w:sz="0" w:space="0" w:color="auto"/>
        <w:bottom w:val="none" w:sz="0" w:space="0" w:color="auto"/>
        <w:right w:val="none" w:sz="0" w:space="0" w:color="auto"/>
      </w:divBdr>
    </w:div>
    <w:div w:id="1201095016">
      <w:bodyDiv w:val="1"/>
      <w:marLeft w:val="0"/>
      <w:marRight w:val="0"/>
      <w:marTop w:val="0"/>
      <w:marBottom w:val="0"/>
      <w:divBdr>
        <w:top w:val="none" w:sz="0" w:space="0" w:color="auto"/>
        <w:left w:val="none" w:sz="0" w:space="0" w:color="auto"/>
        <w:bottom w:val="none" w:sz="0" w:space="0" w:color="auto"/>
        <w:right w:val="none" w:sz="0" w:space="0" w:color="auto"/>
      </w:divBdr>
    </w:div>
    <w:div w:id="1204824756">
      <w:bodyDiv w:val="1"/>
      <w:marLeft w:val="0"/>
      <w:marRight w:val="0"/>
      <w:marTop w:val="0"/>
      <w:marBottom w:val="0"/>
      <w:divBdr>
        <w:top w:val="none" w:sz="0" w:space="0" w:color="auto"/>
        <w:left w:val="none" w:sz="0" w:space="0" w:color="auto"/>
        <w:bottom w:val="none" w:sz="0" w:space="0" w:color="auto"/>
        <w:right w:val="none" w:sz="0" w:space="0" w:color="auto"/>
      </w:divBdr>
    </w:div>
    <w:div w:id="1482189520">
      <w:bodyDiv w:val="1"/>
      <w:marLeft w:val="0"/>
      <w:marRight w:val="0"/>
      <w:marTop w:val="0"/>
      <w:marBottom w:val="0"/>
      <w:divBdr>
        <w:top w:val="none" w:sz="0" w:space="0" w:color="auto"/>
        <w:left w:val="none" w:sz="0" w:space="0" w:color="auto"/>
        <w:bottom w:val="none" w:sz="0" w:space="0" w:color="auto"/>
        <w:right w:val="none" w:sz="0" w:space="0" w:color="auto"/>
      </w:divBdr>
    </w:div>
    <w:div w:id="1494567125">
      <w:bodyDiv w:val="1"/>
      <w:marLeft w:val="0"/>
      <w:marRight w:val="0"/>
      <w:marTop w:val="0"/>
      <w:marBottom w:val="0"/>
      <w:divBdr>
        <w:top w:val="none" w:sz="0" w:space="0" w:color="auto"/>
        <w:left w:val="none" w:sz="0" w:space="0" w:color="auto"/>
        <w:bottom w:val="none" w:sz="0" w:space="0" w:color="auto"/>
        <w:right w:val="none" w:sz="0" w:space="0" w:color="auto"/>
      </w:divBdr>
    </w:div>
    <w:div w:id="1528829259">
      <w:bodyDiv w:val="1"/>
      <w:marLeft w:val="0"/>
      <w:marRight w:val="0"/>
      <w:marTop w:val="0"/>
      <w:marBottom w:val="0"/>
      <w:divBdr>
        <w:top w:val="none" w:sz="0" w:space="0" w:color="auto"/>
        <w:left w:val="none" w:sz="0" w:space="0" w:color="auto"/>
        <w:bottom w:val="none" w:sz="0" w:space="0" w:color="auto"/>
        <w:right w:val="none" w:sz="0" w:space="0" w:color="auto"/>
      </w:divBdr>
    </w:div>
    <w:div w:id="1969582122">
      <w:bodyDiv w:val="1"/>
      <w:marLeft w:val="0"/>
      <w:marRight w:val="0"/>
      <w:marTop w:val="0"/>
      <w:marBottom w:val="0"/>
      <w:divBdr>
        <w:top w:val="none" w:sz="0" w:space="0" w:color="auto"/>
        <w:left w:val="none" w:sz="0" w:space="0" w:color="auto"/>
        <w:bottom w:val="none" w:sz="0" w:space="0" w:color="auto"/>
        <w:right w:val="none" w:sz="0" w:space="0" w:color="auto"/>
      </w:divBdr>
    </w:div>
    <w:div w:id="1988976533">
      <w:bodyDiv w:val="1"/>
      <w:marLeft w:val="0"/>
      <w:marRight w:val="0"/>
      <w:marTop w:val="0"/>
      <w:marBottom w:val="0"/>
      <w:divBdr>
        <w:top w:val="none" w:sz="0" w:space="0" w:color="auto"/>
        <w:left w:val="none" w:sz="0" w:space="0" w:color="auto"/>
        <w:bottom w:val="none" w:sz="0" w:space="0" w:color="auto"/>
        <w:right w:val="none" w:sz="0" w:space="0" w:color="auto"/>
      </w:divBdr>
    </w:div>
    <w:div w:id="1989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15</Pages>
  <Words>7249</Words>
  <Characters>39873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Domínguez Lechuga</dc:creator>
  <cp:keywords/>
  <dc:description/>
  <cp:lastModifiedBy>Emilio Dominguez Lechuga</cp:lastModifiedBy>
  <cp:revision>62</cp:revision>
  <dcterms:created xsi:type="dcterms:W3CDTF">2021-09-09T00:59:00Z</dcterms:created>
  <dcterms:modified xsi:type="dcterms:W3CDTF">2021-09-17T20:01:00Z</dcterms:modified>
</cp:coreProperties>
</file>